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6"/>
      </w:tblGrid>
      <w:tr w:rsidR="00EA539C" w:rsidRPr="005F1DE5" w:rsidTr="00A57265">
        <w:tc>
          <w:tcPr>
            <w:tcW w:w="6656" w:type="dxa"/>
          </w:tcPr>
          <w:p w:rsidR="00EA539C" w:rsidRPr="005F1DE5" w:rsidRDefault="00EA539C" w:rsidP="00A57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E5">
              <w:rPr>
                <w:rFonts w:ascii="Times New Roman" w:hAnsi="Times New Roman" w:cs="Times New Roman"/>
                <w:b/>
                <w:sz w:val="24"/>
                <w:szCs w:val="24"/>
              </w:rPr>
              <w:t>В Московский городской суд</w:t>
            </w:r>
          </w:p>
          <w:p w:rsidR="00EA539C" w:rsidRPr="005F1DE5" w:rsidRDefault="00EA539C" w:rsidP="00A5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E5">
              <w:rPr>
                <w:rFonts w:ascii="Times New Roman" w:hAnsi="Times New Roman" w:cs="Times New Roman"/>
                <w:sz w:val="24"/>
                <w:szCs w:val="24"/>
              </w:rPr>
              <w:t xml:space="preserve">107076, г. Москва, Богородский вал, д. 8 </w:t>
            </w:r>
          </w:p>
          <w:p w:rsidR="00EA539C" w:rsidRPr="005F1DE5" w:rsidRDefault="00EA539C" w:rsidP="00A5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A3" w:rsidRPr="00F603A3" w:rsidRDefault="00F603A3" w:rsidP="00A57265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Административный истец: </w:t>
            </w:r>
          </w:p>
          <w:p w:rsidR="00906745" w:rsidRPr="00906745" w:rsidRDefault="00906745" w:rsidP="00A57265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</w:p>
          <w:p w:rsidR="00F603A3" w:rsidRDefault="00906745" w:rsidP="00A57265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F603A3" w:rsidRPr="00F6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</w:t>
            </w:r>
          </w:p>
          <w:p w:rsidR="00906745" w:rsidRDefault="00906745" w:rsidP="00A57265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______________________________________</w:t>
            </w:r>
          </w:p>
          <w:p w:rsidR="00906745" w:rsidRDefault="00906745" w:rsidP="00A57265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почта: ____________________________</w:t>
            </w:r>
          </w:p>
          <w:p w:rsidR="00906745" w:rsidRDefault="00906745" w:rsidP="00A57265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745" w:rsidRPr="00F603A3" w:rsidRDefault="00906745" w:rsidP="00A57265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9C" w:rsidRDefault="00EA539C" w:rsidP="0090674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D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Представитель заявителя: </w:t>
            </w:r>
            <w:r w:rsidR="00906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906745" w:rsidRPr="005F1DE5" w:rsidRDefault="00906745" w:rsidP="0090674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EA539C" w:rsidRPr="005F1DE5" w:rsidRDefault="00EA539C" w:rsidP="00A572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DE5"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корреспонденции:</w:t>
            </w:r>
            <w:r w:rsidRPr="005F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9C" w:rsidRDefault="00EA539C" w:rsidP="00A572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C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  <w:r w:rsidR="00906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</w:t>
            </w:r>
          </w:p>
          <w:p w:rsidR="00906745" w:rsidRDefault="00906745" w:rsidP="00A572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7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EA539C" w:rsidRDefault="00EA539C" w:rsidP="00A5726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745" w:rsidRPr="00E56B5D" w:rsidRDefault="00EA539C" w:rsidP="00A5726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E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й </w:t>
            </w:r>
            <w:r w:rsidRPr="001B2E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1B2E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56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Правительство города Москвы</w:t>
            </w:r>
            <w:r w:rsidR="00906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539C" w:rsidRDefault="00EA539C" w:rsidP="00A5726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C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Адрес: </w:t>
            </w:r>
            <w:r w:rsidRPr="00E56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125032, г. Москва, ул. Тверская, д. 13</w:t>
            </w:r>
          </w:p>
          <w:p w:rsidR="00906745" w:rsidRPr="009D2F30" w:rsidRDefault="00906745" w:rsidP="00A5726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539C" w:rsidRPr="00BC6D52" w:rsidRDefault="00EA539C" w:rsidP="00A5726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E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й </w:t>
            </w:r>
            <w:r w:rsidRPr="001B2E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2A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B2E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6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городского имущества города Москвы</w:t>
            </w:r>
          </w:p>
          <w:p w:rsidR="00EA539C" w:rsidRDefault="00EA539C" w:rsidP="00A5726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C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  <w:r w:rsidRPr="00BC6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109992, г. Москва, ул. Бахрушина, д. 20</w:t>
            </w:r>
          </w:p>
          <w:p w:rsidR="00906745" w:rsidRPr="009D2F30" w:rsidRDefault="00906745" w:rsidP="00A5726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539C" w:rsidRPr="00BC6D52" w:rsidRDefault="00EA539C" w:rsidP="00A57265">
            <w:pPr>
              <w:pStyle w:val="af"/>
            </w:pPr>
            <w:r w:rsidRPr="001B2E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й </w:t>
            </w:r>
            <w:r w:rsidRPr="001B2E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2A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B2E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6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регистрации кадастра и картографии по Москве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539C" w:rsidRDefault="00EA539C" w:rsidP="00A5726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  <w:r w:rsidRPr="00BC6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115191, г. Москва, ул. Большая Тульская, д.15</w:t>
            </w:r>
          </w:p>
          <w:p w:rsidR="00906745" w:rsidRPr="00AE0F16" w:rsidRDefault="00906745" w:rsidP="00A5726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539C" w:rsidRPr="00906745" w:rsidRDefault="00EA539C" w:rsidP="00A5726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D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Госпошлина:</w:t>
            </w:r>
            <w:r w:rsidRPr="007A3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6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EA539C" w:rsidRPr="005F1DE5" w:rsidRDefault="00EA539C" w:rsidP="00A5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A68" w:rsidRPr="00300EC7" w:rsidRDefault="00C42A68" w:rsidP="00EA539C">
      <w:pPr>
        <w:ind w:left="2124"/>
        <w:rPr>
          <w:b/>
          <w:bCs/>
          <w:sz w:val="24"/>
          <w:szCs w:val="24"/>
        </w:rPr>
      </w:pPr>
      <w:r w:rsidRPr="00300EC7">
        <w:rPr>
          <w:b/>
          <w:bCs/>
          <w:sz w:val="24"/>
          <w:szCs w:val="24"/>
        </w:rPr>
        <w:t>АДМИНИСТРАТИВНОЕ ИСКОВОЕ ЗАЯВЛЕНИЕ</w:t>
      </w:r>
    </w:p>
    <w:p w:rsidR="00C42A68" w:rsidRPr="00300EC7" w:rsidRDefault="00C42A68" w:rsidP="00CB4F6A">
      <w:pPr>
        <w:jc w:val="center"/>
        <w:rPr>
          <w:b/>
          <w:bCs/>
          <w:sz w:val="24"/>
          <w:szCs w:val="24"/>
        </w:rPr>
      </w:pPr>
      <w:r w:rsidRPr="00300EC7">
        <w:rPr>
          <w:b/>
          <w:bCs/>
          <w:sz w:val="24"/>
          <w:szCs w:val="24"/>
        </w:rPr>
        <w:t>об установлении кадастровой стоимости</w:t>
      </w:r>
      <w:r w:rsidR="008F6559">
        <w:rPr>
          <w:b/>
          <w:bCs/>
          <w:sz w:val="24"/>
          <w:szCs w:val="24"/>
        </w:rPr>
        <w:t xml:space="preserve"> объектов</w:t>
      </w:r>
      <w:r w:rsidR="00CB4F6A" w:rsidRPr="00300EC7">
        <w:rPr>
          <w:b/>
          <w:bCs/>
          <w:sz w:val="24"/>
          <w:szCs w:val="24"/>
        </w:rPr>
        <w:t xml:space="preserve"> недвижимого имущества </w:t>
      </w:r>
      <w:r w:rsidRPr="00300EC7">
        <w:rPr>
          <w:b/>
          <w:bCs/>
          <w:sz w:val="24"/>
          <w:szCs w:val="24"/>
        </w:rPr>
        <w:t xml:space="preserve">равной </w:t>
      </w:r>
      <w:r w:rsidR="008F6559">
        <w:rPr>
          <w:b/>
          <w:bCs/>
          <w:sz w:val="24"/>
          <w:szCs w:val="24"/>
        </w:rPr>
        <w:t>их</w:t>
      </w:r>
      <w:r w:rsidRPr="00300EC7">
        <w:rPr>
          <w:b/>
          <w:bCs/>
          <w:sz w:val="24"/>
          <w:szCs w:val="24"/>
        </w:rPr>
        <w:t xml:space="preserve"> рыночной стоимости</w:t>
      </w:r>
    </w:p>
    <w:p w:rsidR="00C42A68" w:rsidRPr="00300EC7" w:rsidRDefault="00C42A68" w:rsidP="00C42A68">
      <w:pPr>
        <w:jc w:val="center"/>
        <w:rPr>
          <w:b/>
          <w:bCs/>
          <w:sz w:val="24"/>
          <w:szCs w:val="24"/>
        </w:rPr>
      </w:pPr>
    </w:p>
    <w:p w:rsidR="00F67A55" w:rsidRDefault="00906745" w:rsidP="00CB6C15">
      <w:pPr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 </w:t>
      </w:r>
      <w:r w:rsidR="00F13EAC" w:rsidRPr="00300EC7">
        <w:rPr>
          <w:b/>
          <w:bCs/>
          <w:sz w:val="24"/>
          <w:szCs w:val="24"/>
        </w:rPr>
        <w:t xml:space="preserve">(далее </w:t>
      </w:r>
      <w:r w:rsidR="00D65117" w:rsidRPr="00300EC7">
        <w:rPr>
          <w:b/>
          <w:bCs/>
          <w:sz w:val="24"/>
          <w:szCs w:val="24"/>
        </w:rPr>
        <w:t>– «</w:t>
      </w:r>
      <w:r w:rsidR="003510BD" w:rsidRPr="00300EC7">
        <w:rPr>
          <w:b/>
          <w:bCs/>
          <w:sz w:val="24"/>
          <w:szCs w:val="24"/>
        </w:rPr>
        <w:t>Административный Истец»)</w:t>
      </w:r>
      <w:r w:rsidR="003510BD" w:rsidRPr="00300EC7">
        <w:rPr>
          <w:bCs/>
          <w:sz w:val="24"/>
          <w:szCs w:val="24"/>
        </w:rPr>
        <w:t xml:space="preserve"> является собственником </w:t>
      </w:r>
      <w:r w:rsidR="00DB217E" w:rsidRPr="00300EC7">
        <w:rPr>
          <w:bCs/>
          <w:sz w:val="24"/>
          <w:szCs w:val="24"/>
        </w:rPr>
        <w:t>Нежилых помещений (далее – Объекты недвижимости)</w:t>
      </w:r>
      <w:r w:rsidR="00CB6C15">
        <w:rPr>
          <w:bCs/>
          <w:sz w:val="24"/>
          <w:szCs w:val="24"/>
        </w:rPr>
        <w:t>, что подтверждается выписками из ЕГРН об основных характеристиках объектов недвижимости (Приложение 1)</w:t>
      </w:r>
      <w:r w:rsidR="00DB217E" w:rsidRPr="00300EC7">
        <w:rPr>
          <w:bCs/>
          <w:sz w:val="24"/>
          <w:szCs w:val="24"/>
        </w:rPr>
        <w:t xml:space="preserve"> </w:t>
      </w:r>
      <w:r w:rsidR="00DB217E" w:rsidRPr="003465B4">
        <w:rPr>
          <w:bCs/>
          <w:sz w:val="24"/>
          <w:szCs w:val="24"/>
        </w:rPr>
        <w:t>расположенных по адресу:</w:t>
      </w:r>
    </w:p>
    <w:p w:rsidR="003465B4" w:rsidRPr="00300EC7" w:rsidRDefault="003465B4" w:rsidP="00CB6C15">
      <w:pPr>
        <w:ind w:firstLine="709"/>
        <w:jc w:val="both"/>
        <w:rPr>
          <w:bCs/>
          <w:sz w:val="24"/>
          <w:szCs w:val="24"/>
        </w:rPr>
      </w:pPr>
    </w:p>
    <w:tbl>
      <w:tblPr>
        <w:tblStyle w:val="ae"/>
        <w:tblW w:w="10060" w:type="dxa"/>
        <w:tblInd w:w="0" w:type="dxa"/>
        <w:tblLook w:val="04A0" w:firstRow="1" w:lastRow="0" w:firstColumn="1" w:lastColumn="0" w:noHBand="0" w:noVBand="1"/>
      </w:tblPr>
      <w:tblGrid>
        <w:gridCol w:w="668"/>
        <w:gridCol w:w="2533"/>
        <w:gridCol w:w="5441"/>
        <w:gridCol w:w="1418"/>
      </w:tblGrid>
      <w:tr w:rsidR="00DB217E" w:rsidRPr="00300EC7" w:rsidTr="00561C0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E" w:rsidRPr="00300EC7" w:rsidRDefault="00DB217E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0E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E" w:rsidRPr="00300EC7" w:rsidRDefault="00DB217E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E" w:rsidRPr="00300EC7" w:rsidRDefault="00DB217E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местоположения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E" w:rsidRPr="00300EC7" w:rsidRDefault="00DB217E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объекта в кв.м.</w:t>
            </w:r>
          </w:p>
        </w:tc>
      </w:tr>
      <w:tr w:rsidR="00DB217E" w:rsidRPr="00300EC7" w:rsidTr="0090674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7E" w:rsidRPr="002B674C" w:rsidRDefault="00DB217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7E" w:rsidRPr="002B674C" w:rsidRDefault="00DB217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7E" w:rsidRPr="00906745" w:rsidRDefault="00DB217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7E" w:rsidRPr="002B674C" w:rsidRDefault="00DB217E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7E" w:rsidRPr="00300EC7" w:rsidTr="0090674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7E" w:rsidRPr="00300EC7" w:rsidRDefault="00DB217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7E" w:rsidRPr="002B674C" w:rsidRDefault="00DB217E" w:rsidP="002B674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7E" w:rsidRPr="00300EC7" w:rsidRDefault="00DB217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7E" w:rsidRPr="002B674C" w:rsidRDefault="00DB217E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C15" w:rsidRPr="00300EC7" w:rsidRDefault="00C0706F" w:rsidP="00CB6C15">
      <w:pPr>
        <w:spacing w:before="100" w:beforeAutospacing="1"/>
        <w:ind w:firstLine="708"/>
        <w:jc w:val="both"/>
        <w:rPr>
          <w:b/>
          <w:color w:val="auto"/>
          <w:sz w:val="24"/>
          <w:szCs w:val="24"/>
        </w:rPr>
      </w:pPr>
      <w:r w:rsidRPr="00300EC7">
        <w:rPr>
          <w:b/>
          <w:bCs/>
          <w:color w:val="auto"/>
          <w:sz w:val="24"/>
          <w:szCs w:val="24"/>
        </w:rPr>
        <w:t>Со</w:t>
      </w:r>
      <w:r w:rsidR="00725FF3" w:rsidRPr="00300EC7">
        <w:rPr>
          <w:b/>
          <w:bCs/>
          <w:color w:val="auto"/>
          <w:sz w:val="24"/>
          <w:szCs w:val="24"/>
        </w:rPr>
        <w:t>г</w:t>
      </w:r>
      <w:r w:rsidR="00AB341F" w:rsidRPr="00300EC7">
        <w:rPr>
          <w:b/>
          <w:bCs/>
          <w:color w:val="auto"/>
          <w:sz w:val="24"/>
          <w:szCs w:val="24"/>
        </w:rPr>
        <w:t xml:space="preserve">ласно </w:t>
      </w:r>
      <w:r w:rsidR="00CB6C15" w:rsidRPr="00300EC7">
        <w:rPr>
          <w:b/>
          <w:bCs/>
          <w:color w:val="auto"/>
          <w:sz w:val="24"/>
          <w:szCs w:val="24"/>
        </w:rPr>
        <w:t>Выпискам,</w:t>
      </w:r>
      <w:r w:rsidR="00BC6B69" w:rsidRPr="00300EC7">
        <w:rPr>
          <w:b/>
          <w:bCs/>
          <w:color w:val="auto"/>
          <w:sz w:val="24"/>
          <w:szCs w:val="24"/>
        </w:rPr>
        <w:t xml:space="preserve"> из ЕГРН </w:t>
      </w:r>
      <w:r w:rsidR="00455E54" w:rsidRPr="00300EC7">
        <w:rPr>
          <w:b/>
          <w:bCs/>
          <w:color w:val="auto"/>
          <w:sz w:val="24"/>
          <w:szCs w:val="24"/>
        </w:rPr>
        <w:t xml:space="preserve">о </w:t>
      </w:r>
      <w:r w:rsidR="00AB341F" w:rsidRPr="00300EC7">
        <w:rPr>
          <w:b/>
          <w:bCs/>
          <w:color w:val="auto"/>
          <w:sz w:val="24"/>
          <w:szCs w:val="24"/>
        </w:rPr>
        <w:t xml:space="preserve">кадастровой </w:t>
      </w:r>
      <w:r w:rsidR="00455E54" w:rsidRPr="00300EC7">
        <w:rPr>
          <w:b/>
          <w:bCs/>
          <w:color w:val="auto"/>
          <w:sz w:val="24"/>
          <w:szCs w:val="24"/>
        </w:rPr>
        <w:t>стоимости</w:t>
      </w:r>
      <w:r w:rsidR="007534AB" w:rsidRPr="00300EC7">
        <w:rPr>
          <w:b/>
          <w:bCs/>
          <w:color w:val="auto"/>
          <w:sz w:val="24"/>
          <w:szCs w:val="24"/>
        </w:rPr>
        <w:t xml:space="preserve"> от </w:t>
      </w:r>
      <w:r w:rsidR="00561C0E" w:rsidRPr="00300EC7">
        <w:rPr>
          <w:bCs/>
          <w:i/>
          <w:sz w:val="24"/>
          <w:szCs w:val="24"/>
        </w:rPr>
        <w:t>(Приложение № 2</w:t>
      </w:r>
      <w:r w:rsidR="00A40BE3" w:rsidRPr="00300EC7">
        <w:rPr>
          <w:bCs/>
          <w:i/>
          <w:sz w:val="24"/>
          <w:szCs w:val="24"/>
        </w:rPr>
        <w:t>)</w:t>
      </w:r>
      <w:r w:rsidRPr="00300EC7">
        <w:rPr>
          <w:b/>
          <w:bCs/>
          <w:color w:val="auto"/>
          <w:sz w:val="24"/>
          <w:szCs w:val="24"/>
        </w:rPr>
        <w:t xml:space="preserve"> к</w:t>
      </w:r>
      <w:r w:rsidR="001B3CF9" w:rsidRPr="00300EC7">
        <w:rPr>
          <w:b/>
          <w:bCs/>
          <w:color w:val="auto"/>
          <w:sz w:val="24"/>
          <w:szCs w:val="24"/>
        </w:rPr>
        <w:t>адастровая стоимость выше</w:t>
      </w:r>
      <w:r w:rsidR="007534AB" w:rsidRPr="00300EC7">
        <w:rPr>
          <w:b/>
          <w:bCs/>
          <w:color w:val="auto"/>
          <w:sz w:val="24"/>
          <w:szCs w:val="24"/>
        </w:rPr>
        <w:t xml:space="preserve"> указанных Объектов</w:t>
      </w:r>
      <w:r w:rsidR="001B3CF9" w:rsidRPr="00300EC7">
        <w:rPr>
          <w:b/>
          <w:bCs/>
          <w:color w:val="auto"/>
          <w:sz w:val="24"/>
          <w:szCs w:val="24"/>
        </w:rPr>
        <w:t xml:space="preserve"> </w:t>
      </w:r>
      <w:r w:rsidR="00725FF3" w:rsidRPr="00300EC7">
        <w:rPr>
          <w:b/>
          <w:color w:val="auto"/>
          <w:sz w:val="24"/>
          <w:szCs w:val="24"/>
        </w:rPr>
        <w:t xml:space="preserve">по состоянию на </w:t>
      </w:r>
      <w:r w:rsidR="00D46DDB" w:rsidRPr="00300EC7">
        <w:rPr>
          <w:b/>
          <w:color w:val="auto"/>
          <w:sz w:val="24"/>
          <w:szCs w:val="24"/>
        </w:rPr>
        <w:t>01.01</w:t>
      </w:r>
      <w:r w:rsidR="00AB341F" w:rsidRPr="00300EC7">
        <w:rPr>
          <w:b/>
          <w:color w:val="auto"/>
          <w:sz w:val="24"/>
          <w:szCs w:val="24"/>
        </w:rPr>
        <w:t>.2016</w:t>
      </w:r>
      <w:r w:rsidRPr="00300EC7">
        <w:rPr>
          <w:b/>
          <w:color w:val="auto"/>
          <w:sz w:val="24"/>
          <w:szCs w:val="24"/>
        </w:rPr>
        <w:t>г.</w:t>
      </w:r>
      <w:r w:rsidR="00D46DDB" w:rsidRPr="00300EC7">
        <w:rPr>
          <w:b/>
          <w:color w:val="auto"/>
          <w:sz w:val="24"/>
          <w:szCs w:val="24"/>
        </w:rPr>
        <w:t xml:space="preserve"> </w:t>
      </w:r>
      <w:r w:rsidRPr="00300EC7">
        <w:rPr>
          <w:b/>
          <w:color w:val="auto"/>
          <w:sz w:val="24"/>
          <w:szCs w:val="24"/>
        </w:rPr>
        <w:t>была определена в размере</w:t>
      </w:r>
      <w:r w:rsidR="007534AB" w:rsidRPr="00300EC7">
        <w:rPr>
          <w:b/>
          <w:color w:val="auto"/>
          <w:sz w:val="24"/>
          <w:szCs w:val="24"/>
        </w:rPr>
        <w:t>:</w:t>
      </w:r>
    </w:p>
    <w:tbl>
      <w:tblPr>
        <w:tblStyle w:val="ae"/>
        <w:tblW w:w="10065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6804"/>
      </w:tblGrid>
      <w:tr w:rsidR="007534AB" w:rsidRPr="00300EC7" w:rsidTr="003479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AB" w:rsidRPr="00300EC7" w:rsidRDefault="007534AB" w:rsidP="00DB153B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0E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AB" w:rsidRPr="00300EC7" w:rsidRDefault="007534AB" w:rsidP="00DB153B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AB" w:rsidRPr="00300EC7" w:rsidRDefault="007534AB" w:rsidP="00DB153B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стоимость, руб.</w:t>
            </w:r>
          </w:p>
        </w:tc>
      </w:tr>
      <w:tr w:rsidR="007534AB" w:rsidRPr="00300EC7" w:rsidTr="009067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AB" w:rsidRPr="00300EC7" w:rsidRDefault="007534AB" w:rsidP="00DB153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AB" w:rsidRPr="00300EC7" w:rsidRDefault="007534AB" w:rsidP="00DB153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AB" w:rsidRPr="00300EC7" w:rsidRDefault="007534AB" w:rsidP="00347937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AB" w:rsidRPr="00300EC7" w:rsidTr="009067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AB" w:rsidRPr="00300EC7" w:rsidRDefault="007534AB" w:rsidP="00DB153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AB" w:rsidRPr="00300EC7" w:rsidRDefault="007534AB" w:rsidP="00DB153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AB" w:rsidRPr="00300EC7" w:rsidRDefault="007534AB" w:rsidP="00347937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4D5" w:rsidRDefault="00BD64D5" w:rsidP="00CB6C15">
      <w:pPr>
        <w:ind w:firstLine="708"/>
        <w:jc w:val="both"/>
        <w:rPr>
          <w:sz w:val="24"/>
          <w:szCs w:val="24"/>
        </w:rPr>
      </w:pPr>
    </w:p>
    <w:p w:rsidR="00C42A68" w:rsidRPr="00300EC7" w:rsidRDefault="00C42A68" w:rsidP="00CB6C15">
      <w:pPr>
        <w:ind w:firstLine="708"/>
        <w:jc w:val="both"/>
        <w:rPr>
          <w:bCs/>
          <w:sz w:val="24"/>
          <w:szCs w:val="24"/>
        </w:rPr>
      </w:pPr>
      <w:r w:rsidRPr="00300EC7">
        <w:rPr>
          <w:sz w:val="24"/>
          <w:szCs w:val="24"/>
        </w:rPr>
        <w:t xml:space="preserve">1. </w:t>
      </w:r>
      <w:r w:rsidR="00E75E4C" w:rsidRPr="00300EC7">
        <w:rPr>
          <w:bCs/>
          <w:sz w:val="24"/>
          <w:szCs w:val="24"/>
        </w:rPr>
        <w:t>Согласно Приказу Минэкономразви</w:t>
      </w:r>
      <w:r w:rsidR="00A40BE3" w:rsidRPr="00300EC7">
        <w:rPr>
          <w:bCs/>
          <w:sz w:val="24"/>
          <w:szCs w:val="24"/>
        </w:rPr>
        <w:t>тия России от 07.06.2016 N 358 «</w:t>
      </w:r>
      <w:r w:rsidR="00E75E4C" w:rsidRPr="00300EC7">
        <w:rPr>
          <w:bCs/>
          <w:sz w:val="24"/>
          <w:szCs w:val="24"/>
        </w:rPr>
        <w:t>Об утверждении методических указаний о государственной кадастровой оценке</w:t>
      </w:r>
      <w:r w:rsidR="00A40BE3" w:rsidRPr="00300EC7">
        <w:rPr>
          <w:bCs/>
          <w:sz w:val="24"/>
          <w:szCs w:val="24"/>
        </w:rPr>
        <w:t>»</w:t>
      </w:r>
      <w:r w:rsidR="00E479D0" w:rsidRPr="00300EC7">
        <w:rPr>
          <w:bCs/>
          <w:sz w:val="24"/>
          <w:szCs w:val="24"/>
        </w:rPr>
        <w:t>, кадастровая стоимость объектов</w:t>
      </w:r>
      <w:r w:rsidR="00E75E4C" w:rsidRPr="00300EC7">
        <w:rPr>
          <w:bCs/>
          <w:sz w:val="24"/>
          <w:szCs w:val="24"/>
        </w:rPr>
        <w:t xml:space="preserve"> недвижимости определяется для целей, предусмотренных законодательством Российской Федерации, в том числе для налогообложения, на основе рыночной и иной информации, связанной с эко</w:t>
      </w:r>
      <w:r w:rsidR="00E479D0" w:rsidRPr="00300EC7">
        <w:rPr>
          <w:bCs/>
          <w:sz w:val="24"/>
          <w:szCs w:val="24"/>
        </w:rPr>
        <w:t>номическими характеристиками их</w:t>
      </w:r>
      <w:r w:rsidR="00E75E4C" w:rsidRPr="00300EC7">
        <w:rPr>
          <w:bCs/>
          <w:sz w:val="24"/>
          <w:szCs w:val="24"/>
        </w:rPr>
        <w:t xml:space="preserve"> использования, без учета иных, кроме права собственнос</w:t>
      </w:r>
      <w:r w:rsidR="00E479D0" w:rsidRPr="00300EC7">
        <w:rPr>
          <w:bCs/>
          <w:sz w:val="24"/>
          <w:szCs w:val="24"/>
        </w:rPr>
        <w:t>ти, имущественных прав на данные</w:t>
      </w:r>
      <w:r w:rsidR="00E75E4C" w:rsidRPr="00300EC7">
        <w:rPr>
          <w:bCs/>
          <w:sz w:val="24"/>
          <w:szCs w:val="24"/>
        </w:rPr>
        <w:t xml:space="preserve"> объект</w:t>
      </w:r>
      <w:r w:rsidR="00E479D0" w:rsidRPr="00300EC7">
        <w:rPr>
          <w:bCs/>
          <w:sz w:val="24"/>
          <w:szCs w:val="24"/>
        </w:rPr>
        <w:t>ы</w:t>
      </w:r>
      <w:r w:rsidR="00E75E4C" w:rsidRPr="00300EC7">
        <w:rPr>
          <w:bCs/>
          <w:sz w:val="24"/>
          <w:szCs w:val="24"/>
        </w:rPr>
        <w:t>. Кадастровая стоимость представляет собой</w:t>
      </w:r>
      <w:r w:rsidR="00E479D0" w:rsidRPr="00300EC7">
        <w:rPr>
          <w:bCs/>
          <w:sz w:val="24"/>
          <w:szCs w:val="24"/>
        </w:rPr>
        <w:t xml:space="preserve"> наиболее вероятную цену объектов</w:t>
      </w:r>
      <w:r w:rsidR="00E75E4C" w:rsidRPr="00300EC7">
        <w:rPr>
          <w:bCs/>
          <w:sz w:val="24"/>
          <w:szCs w:val="24"/>
        </w:rPr>
        <w:t xml:space="preserve"> недвижимости, по которой он</w:t>
      </w:r>
      <w:r w:rsidR="00E479D0" w:rsidRPr="00300EC7">
        <w:rPr>
          <w:bCs/>
          <w:sz w:val="24"/>
          <w:szCs w:val="24"/>
        </w:rPr>
        <w:t>и могут</w:t>
      </w:r>
      <w:r w:rsidR="00E75E4C" w:rsidRPr="00300EC7">
        <w:rPr>
          <w:bCs/>
          <w:sz w:val="24"/>
          <w:szCs w:val="24"/>
        </w:rPr>
        <w:t xml:space="preserve"> быть приобретен</w:t>
      </w:r>
      <w:r w:rsidR="00E479D0" w:rsidRPr="00300EC7">
        <w:rPr>
          <w:bCs/>
          <w:sz w:val="24"/>
          <w:szCs w:val="24"/>
        </w:rPr>
        <w:t>ы</w:t>
      </w:r>
      <w:r w:rsidR="00E75E4C" w:rsidRPr="00300EC7">
        <w:rPr>
          <w:bCs/>
          <w:sz w:val="24"/>
          <w:szCs w:val="24"/>
        </w:rPr>
        <w:t xml:space="preserve"> исходя из возможности продолжения фактического вида его использования независимо от ограничений на распоряжение этим</w:t>
      </w:r>
      <w:r w:rsidR="00E479D0" w:rsidRPr="00300EC7">
        <w:rPr>
          <w:bCs/>
          <w:sz w:val="24"/>
          <w:szCs w:val="24"/>
        </w:rPr>
        <w:t>и</w:t>
      </w:r>
      <w:r w:rsidR="00561C0E" w:rsidRPr="00300EC7">
        <w:rPr>
          <w:bCs/>
          <w:sz w:val="24"/>
          <w:szCs w:val="24"/>
        </w:rPr>
        <w:t xml:space="preserve"> объекта</w:t>
      </w:r>
      <w:r w:rsidR="00E75E4C" w:rsidRPr="00300EC7">
        <w:rPr>
          <w:bCs/>
          <w:sz w:val="24"/>
          <w:szCs w:val="24"/>
        </w:rPr>
        <w:t>м</w:t>
      </w:r>
      <w:r w:rsidR="00E479D0" w:rsidRPr="00300EC7">
        <w:rPr>
          <w:bCs/>
          <w:sz w:val="24"/>
          <w:szCs w:val="24"/>
        </w:rPr>
        <w:t>и</w:t>
      </w:r>
      <w:r w:rsidR="00E75E4C" w:rsidRPr="00300EC7">
        <w:rPr>
          <w:bCs/>
          <w:sz w:val="24"/>
          <w:szCs w:val="24"/>
        </w:rPr>
        <w:t>.</w:t>
      </w:r>
    </w:p>
    <w:p w:rsidR="00561C0E" w:rsidRPr="00300EC7" w:rsidRDefault="00561C0E" w:rsidP="00C42A68">
      <w:pPr>
        <w:ind w:firstLine="708"/>
        <w:jc w:val="both"/>
        <w:rPr>
          <w:bCs/>
          <w:sz w:val="24"/>
          <w:szCs w:val="24"/>
        </w:rPr>
      </w:pPr>
    </w:p>
    <w:p w:rsidR="00C42A68" w:rsidRPr="00300EC7" w:rsidRDefault="00C42A68" w:rsidP="00C42A68">
      <w:pPr>
        <w:ind w:firstLine="708"/>
        <w:jc w:val="both"/>
        <w:rPr>
          <w:bCs/>
          <w:sz w:val="24"/>
          <w:szCs w:val="24"/>
        </w:rPr>
      </w:pPr>
      <w:r w:rsidRPr="00300EC7">
        <w:rPr>
          <w:bCs/>
          <w:sz w:val="24"/>
          <w:szCs w:val="24"/>
        </w:rPr>
        <w:t xml:space="preserve">В соответствии со ст. 6 Федерального Закона РФ «Об оценочной деятельности в Российской Федерации» №135-ФЗ от 16.07.1998 года </w:t>
      </w:r>
      <w:r w:rsidRPr="00300EC7">
        <w:rPr>
          <w:bCs/>
          <w:i/>
          <w:iCs/>
          <w:sz w:val="24"/>
          <w:szCs w:val="24"/>
        </w:rPr>
        <w:t xml:space="preserve">(далее - </w:t>
      </w:r>
      <w:r w:rsidRPr="00300EC7">
        <w:rPr>
          <w:b/>
          <w:bCs/>
          <w:i/>
          <w:iCs/>
          <w:sz w:val="24"/>
          <w:szCs w:val="24"/>
        </w:rPr>
        <w:t>«№135-ФЗ»</w:t>
      </w:r>
      <w:r w:rsidRPr="00300EC7">
        <w:rPr>
          <w:bCs/>
          <w:i/>
          <w:iCs/>
          <w:sz w:val="24"/>
          <w:szCs w:val="24"/>
        </w:rPr>
        <w:t>)</w:t>
      </w:r>
      <w:r w:rsidRPr="00300EC7">
        <w:rPr>
          <w:bCs/>
          <w:sz w:val="24"/>
          <w:szCs w:val="24"/>
        </w:rPr>
        <w:t xml:space="preserve"> Российская Федерация, субъекты Российской Федерации или муниципальные образования, физические лица и юридические лица имеют право на проведение оценщиком оценки любых принадлежащих им объектов оценки на основаниях и условиях, предусмотренных настоящим Федеральным законом.</w:t>
      </w:r>
    </w:p>
    <w:p w:rsidR="00561C0E" w:rsidRPr="00300EC7" w:rsidRDefault="00561C0E" w:rsidP="00C42A68">
      <w:pPr>
        <w:ind w:firstLine="708"/>
        <w:jc w:val="both"/>
        <w:rPr>
          <w:bCs/>
          <w:sz w:val="24"/>
          <w:szCs w:val="24"/>
        </w:rPr>
      </w:pPr>
    </w:p>
    <w:p w:rsidR="00C42A68" w:rsidRPr="00300EC7" w:rsidRDefault="00C42A68" w:rsidP="00C42A68">
      <w:pPr>
        <w:ind w:firstLine="708"/>
        <w:jc w:val="both"/>
        <w:rPr>
          <w:bCs/>
          <w:sz w:val="24"/>
          <w:szCs w:val="24"/>
        </w:rPr>
      </w:pPr>
      <w:r w:rsidRPr="00300EC7">
        <w:rPr>
          <w:bCs/>
          <w:sz w:val="24"/>
          <w:szCs w:val="24"/>
        </w:rPr>
        <w:t>Согласно пункту 4 статьи 24.18 №135-ФЗ, в случае оспаривания результатов определения кадастровой стоим</w:t>
      </w:r>
      <w:r w:rsidR="00E479D0" w:rsidRPr="00300EC7">
        <w:rPr>
          <w:bCs/>
          <w:sz w:val="24"/>
          <w:szCs w:val="24"/>
        </w:rPr>
        <w:t>ости, рыночная стоимость объектов</w:t>
      </w:r>
      <w:r w:rsidRPr="00300EC7">
        <w:rPr>
          <w:bCs/>
          <w:sz w:val="24"/>
          <w:szCs w:val="24"/>
        </w:rPr>
        <w:t xml:space="preserve"> недвижимости должна быть установлена на дату, по состоянию на которую установлена его кадастровая стоимость. В связи с </w:t>
      </w:r>
      <w:r w:rsidR="00E479D0" w:rsidRPr="00300EC7">
        <w:rPr>
          <w:bCs/>
          <w:sz w:val="24"/>
          <w:szCs w:val="24"/>
        </w:rPr>
        <w:t>этим, рыночная стоимость Объектов</w:t>
      </w:r>
      <w:r w:rsidRPr="00300EC7">
        <w:rPr>
          <w:bCs/>
          <w:sz w:val="24"/>
          <w:szCs w:val="24"/>
        </w:rPr>
        <w:t xml:space="preserve"> должна быть </w:t>
      </w:r>
      <w:r w:rsidR="00D932CC" w:rsidRPr="00300EC7">
        <w:rPr>
          <w:bCs/>
          <w:sz w:val="24"/>
          <w:szCs w:val="24"/>
        </w:rPr>
        <w:t xml:space="preserve">определена по состоянию на </w:t>
      </w:r>
      <w:r w:rsidR="00225F1E" w:rsidRPr="00300EC7">
        <w:rPr>
          <w:bCs/>
          <w:sz w:val="24"/>
          <w:szCs w:val="24"/>
        </w:rPr>
        <w:t>01.01</w:t>
      </w:r>
      <w:r w:rsidR="00D932CC" w:rsidRPr="00300EC7">
        <w:rPr>
          <w:bCs/>
          <w:sz w:val="24"/>
          <w:szCs w:val="24"/>
        </w:rPr>
        <w:t>.201</w:t>
      </w:r>
      <w:r w:rsidR="00225F1E" w:rsidRPr="00300EC7">
        <w:rPr>
          <w:bCs/>
          <w:sz w:val="24"/>
          <w:szCs w:val="24"/>
        </w:rPr>
        <w:t>6</w:t>
      </w:r>
      <w:r w:rsidRPr="00300EC7">
        <w:rPr>
          <w:bCs/>
          <w:sz w:val="24"/>
          <w:szCs w:val="24"/>
        </w:rPr>
        <w:t xml:space="preserve"> года.</w:t>
      </w:r>
    </w:p>
    <w:p w:rsidR="007E5EF9" w:rsidRDefault="00406B55" w:rsidP="009A544D">
      <w:pPr>
        <w:spacing w:before="100" w:beforeAutospacing="1"/>
        <w:ind w:firstLine="567"/>
        <w:jc w:val="both"/>
        <w:rPr>
          <w:b/>
          <w:bCs/>
          <w:color w:val="auto"/>
          <w:sz w:val="24"/>
          <w:szCs w:val="24"/>
        </w:rPr>
      </w:pPr>
      <w:r w:rsidRPr="00300EC7">
        <w:rPr>
          <w:color w:val="auto"/>
          <w:sz w:val="24"/>
          <w:szCs w:val="24"/>
        </w:rPr>
        <w:t>По заданию Административного Истца</w:t>
      </w:r>
      <w:r w:rsidRPr="00300EC7">
        <w:rPr>
          <w:b/>
          <w:bCs/>
          <w:color w:val="auto"/>
          <w:sz w:val="24"/>
          <w:szCs w:val="24"/>
        </w:rPr>
        <w:t xml:space="preserve"> </w:t>
      </w:r>
      <w:r w:rsidRPr="00300EC7">
        <w:rPr>
          <w:color w:val="auto"/>
          <w:sz w:val="24"/>
          <w:szCs w:val="24"/>
        </w:rPr>
        <w:t xml:space="preserve">Обществом с ограниченной ответственностью </w:t>
      </w:r>
      <w:r w:rsidR="00906745">
        <w:rPr>
          <w:color w:val="auto"/>
          <w:sz w:val="24"/>
          <w:szCs w:val="24"/>
        </w:rPr>
        <w:t>___________________________________</w:t>
      </w:r>
      <w:r w:rsidR="007534AB" w:rsidRPr="00300EC7">
        <w:rPr>
          <w:sz w:val="24"/>
          <w:szCs w:val="24"/>
        </w:rPr>
        <w:t xml:space="preserve"> были проведены исследования по определению рыночной стоимости Объектов, в результате которого оценщико</w:t>
      </w:r>
      <w:r w:rsidR="00561C0E" w:rsidRPr="00300EC7">
        <w:rPr>
          <w:sz w:val="24"/>
          <w:szCs w:val="24"/>
        </w:rPr>
        <w:t xml:space="preserve">м </w:t>
      </w:r>
      <w:r w:rsidR="00906745">
        <w:rPr>
          <w:sz w:val="24"/>
          <w:szCs w:val="24"/>
        </w:rPr>
        <w:t xml:space="preserve">_________________________________________ </w:t>
      </w:r>
      <w:r w:rsidR="007534AB" w:rsidRPr="00300EC7">
        <w:rPr>
          <w:sz w:val="24"/>
          <w:szCs w:val="24"/>
        </w:rPr>
        <w:t xml:space="preserve">составлен Отчет </w:t>
      </w:r>
      <w:r w:rsidR="00906745">
        <w:rPr>
          <w:color w:val="auto"/>
          <w:sz w:val="24"/>
          <w:szCs w:val="24"/>
        </w:rPr>
        <w:t xml:space="preserve">№ _____________________________________________ </w:t>
      </w:r>
      <w:r w:rsidRPr="00300EC7">
        <w:rPr>
          <w:color w:val="auto"/>
          <w:sz w:val="24"/>
          <w:szCs w:val="24"/>
        </w:rPr>
        <w:t>об оценке рыночной стоимос</w:t>
      </w:r>
      <w:r w:rsidR="00D75BD4" w:rsidRPr="00300EC7">
        <w:rPr>
          <w:color w:val="auto"/>
          <w:sz w:val="24"/>
          <w:szCs w:val="24"/>
        </w:rPr>
        <w:t xml:space="preserve">ти </w:t>
      </w:r>
      <w:r w:rsidRPr="00300EC7">
        <w:rPr>
          <w:i/>
          <w:iCs/>
          <w:color w:val="auto"/>
          <w:sz w:val="24"/>
          <w:szCs w:val="24"/>
        </w:rPr>
        <w:t xml:space="preserve">(далее - </w:t>
      </w:r>
      <w:r w:rsidRPr="00300EC7">
        <w:rPr>
          <w:b/>
          <w:bCs/>
          <w:i/>
          <w:iCs/>
          <w:color w:val="auto"/>
          <w:sz w:val="24"/>
          <w:szCs w:val="24"/>
        </w:rPr>
        <w:t xml:space="preserve">«Отчет», </w:t>
      </w:r>
      <w:r w:rsidR="00E16D62" w:rsidRPr="00300EC7">
        <w:rPr>
          <w:i/>
          <w:iCs/>
          <w:color w:val="auto"/>
          <w:sz w:val="24"/>
          <w:szCs w:val="24"/>
        </w:rPr>
        <w:t>Приложение №</w:t>
      </w:r>
      <w:r w:rsidR="00561C0E" w:rsidRPr="00300EC7">
        <w:rPr>
          <w:i/>
          <w:iCs/>
          <w:color w:val="auto"/>
          <w:sz w:val="24"/>
          <w:szCs w:val="24"/>
        </w:rPr>
        <w:t>21</w:t>
      </w:r>
      <w:r w:rsidRPr="00300EC7">
        <w:rPr>
          <w:i/>
          <w:iCs/>
          <w:color w:val="auto"/>
          <w:sz w:val="24"/>
          <w:szCs w:val="24"/>
        </w:rPr>
        <w:t>),</w:t>
      </w:r>
      <w:r w:rsidRPr="00300EC7">
        <w:rPr>
          <w:color w:val="auto"/>
          <w:sz w:val="24"/>
          <w:szCs w:val="24"/>
        </w:rPr>
        <w:t xml:space="preserve"> согласно которому </w:t>
      </w:r>
      <w:r w:rsidRPr="00300EC7">
        <w:rPr>
          <w:b/>
          <w:bCs/>
          <w:color w:val="auto"/>
          <w:sz w:val="24"/>
          <w:szCs w:val="24"/>
        </w:rPr>
        <w:t xml:space="preserve">рыночная </w:t>
      </w:r>
      <w:r w:rsidR="007534AB" w:rsidRPr="00300EC7">
        <w:rPr>
          <w:b/>
          <w:bCs/>
          <w:color w:val="auto"/>
          <w:sz w:val="24"/>
          <w:szCs w:val="24"/>
        </w:rPr>
        <w:t>стоимость Объектов</w:t>
      </w:r>
      <w:r w:rsidRPr="00300EC7">
        <w:rPr>
          <w:b/>
          <w:bCs/>
          <w:color w:val="auto"/>
          <w:sz w:val="24"/>
          <w:szCs w:val="24"/>
        </w:rPr>
        <w:t xml:space="preserve"> по состоянию н</w:t>
      </w:r>
      <w:r w:rsidR="00225F1E" w:rsidRPr="00300EC7">
        <w:rPr>
          <w:b/>
          <w:bCs/>
          <w:color w:val="auto"/>
          <w:sz w:val="24"/>
          <w:szCs w:val="24"/>
        </w:rPr>
        <w:t>а 01.01.2016</w:t>
      </w:r>
      <w:r w:rsidRPr="00300EC7">
        <w:rPr>
          <w:b/>
          <w:bCs/>
          <w:color w:val="auto"/>
          <w:sz w:val="24"/>
          <w:szCs w:val="24"/>
        </w:rPr>
        <w:t>г. составля</w:t>
      </w:r>
      <w:r w:rsidR="007534AB" w:rsidRPr="00300EC7">
        <w:rPr>
          <w:b/>
          <w:bCs/>
          <w:color w:val="auto"/>
          <w:sz w:val="24"/>
          <w:szCs w:val="24"/>
        </w:rPr>
        <w:t>ет</w:t>
      </w:r>
      <w:r w:rsidR="00ED4A15" w:rsidRPr="00300EC7">
        <w:rPr>
          <w:b/>
          <w:bCs/>
          <w:color w:val="auto"/>
          <w:sz w:val="24"/>
          <w:szCs w:val="24"/>
        </w:rPr>
        <w:t>:</w:t>
      </w:r>
    </w:p>
    <w:p w:rsidR="009A544D" w:rsidRPr="00300EC7" w:rsidRDefault="009A544D" w:rsidP="009A544D">
      <w:pPr>
        <w:spacing w:before="100" w:beforeAutospacing="1"/>
        <w:jc w:val="both"/>
        <w:rPr>
          <w:b/>
          <w:bCs/>
          <w:color w:val="auto"/>
          <w:sz w:val="24"/>
          <w:szCs w:val="24"/>
        </w:rPr>
      </w:pPr>
    </w:p>
    <w:tbl>
      <w:tblPr>
        <w:tblStyle w:val="ae"/>
        <w:tblW w:w="9781" w:type="dxa"/>
        <w:tblInd w:w="-5" w:type="dxa"/>
        <w:tblLook w:val="04A0" w:firstRow="1" w:lastRow="0" w:firstColumn="1" w:lastColumn="0" w:noHBand="0" w:noVBand="1"/>
      </w:tblPr>
      <w:tblGrid>
        <w:gridCol w:w="1658"/>
        <w:gridCol w:w="3402"/>
        <w:gridCol w:w="4721"/>
      </w:tblGrid>
      <w:tr w:rsidR="007E5EF9" w:rsidRPr="00300EC7" w:rsidTr="006442C6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F9" w:rsidRPr="00300EC7" w:rsidRDefault="007E5EF9" w:rsidP="00DB153B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0E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F9" w:rsidRPr="00300EC7" w:rsidRDefault="007E5EF9" w:rsidP="00DB153B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F9" w:rsidRPr="00300EC7" w:rsidRDefault="007E5EF9" w:rsidP="007E5E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Рыночная стоимость с учетом НДС на дату оценки 01.01.2016г.</w:t>
            </w:r>
          </w:p>
        </w:tc>
      </w:tr>
      <w:tr w:rsidR="007E5EF9" w:rsidRPr="004A5E5E" w:rsidTr="0090674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9" w:rsidRPr="00300EC7" w:rsidRDefault="007E5EF9" w:rsidP="00DB153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9" w:rsidRPr="00300EC7" w:rsidRDefault="007E5EF9" w:rsidP="00DB153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9" w:rsidRPr="004A5E5E" w:rsidRDefault="007E5EF9" w:rsidP="00825E36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F9" w:rsidRPr="004A5E5E" w:rsidTr="0090674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9" w:rsidRPr="00300EC7" w:rsidRDefault="007E5EF9" w:rsidP="00DB153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9" w:rsidRPr="00300EC7" w:rsidRDefault="007E5EF9" w:rsidP="00DB153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9" w:rsidRPr="004A5E5E" w:rsidRDefault="007E5EF9" w:rsidP="00347937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A68" w:rsidRPr="00300EC7" w:rsidRDefault="00C42A68" w:rsidP="007E5EF9">
      <w:pPr>
        <w:jc w:val="both"/>
        <w:rPr>
          <w:bCs/>
          <w:sz w:val="24"/>
          <w:szCs w:val="24"/>
        </w:rPr>
      </w:pPr>
    </w:p>
    <w:p w:rsidR="00C42A68" w:rsidRPr="00300EC7" w:rsidRDefault="00C42A68" w:rsidP="00C42A68">
      <w:pPr>
        <w:ind w:firstLine="708"/>
        <w:jc w:val="both"/>
        <w:rPr>
          <w:b/>
          <w:bCs/>
          <w:sz w:val="24"/>
          <w:szCs w:val="24"/>
        </w:rPr>
      </w:pPr>
      <w:r w:rsidRPr="00300EC7">
        <w:rPr>
          <w:sz w:val="24"/>
          <w:szCs w:val="24"/>
        </w:rPr>
        <w:t>В соответствии со ст. 12 №135-ФЗ, итоговая величина рын</w:t>
      </w:r>
      <w:r w:rsidR="00E479D0" w:rsidRPr="00300EC7">
        <w:rPr>
          <w:sz w:val="24"/>
          <w:szCs w:val="24"/>
        </w:rPr>
        <w:t>очной или иной стоимости объектов</w:t>
      </w:r>
      <w:r w:rsidRPr="00300EC7">
        <w:rPr>
          <w:sz w:val="24"/>
          <w:szCs w:val="24"/>
        </w:rPr>
        <w:t xml:space="preserve"> оценки, указанная в отчете, составленном по основаниям и в порядке, которые предусмотрены настоящим Федеральным законом, признается достоверной и рекомендуемой для це</w:t>
      </w:r>
      <w:r w:rsidR="000831E4" w:rsidRPr="00300EC7">
        <w:rPr>
          <w:sz w:val="24"/>
          <w:szCs w:val="24"/>
        </w:rPr>
        <w:t>лей совершения сделки с объектами</w:t>
      </w:r>
      <w:r w:rsidRPr="00300EC7">
        <w:rPr>
          <w:sz w:val="24"/>
          <w:szCs w:val="24"/>
        </w:rPr>
        <w:t xml:space="preserve"> оценки.</w:t>
      </w:r>
    </w:p>
    <w:p w:rsidR="00C42A68" w:rsidRPr="00300EC7" w:rsidRDefault="00C42A68" w:rsidP="00C42A68">
      <w:pPr>
        <w:ind w:firstLine="708"/>
        <w:jc w:val="both"/>
        <w:rPr>
          <w:b/>
          <w:bCs/>
          <w:sz w:val="24"/>
          <w:szCs w:val="24"/>
        </w:rPr>
      </w:pPr>
    </w:p>
    <w:p w:rsidR="00C42A68" w:rsidRPr="00300EC7" w:rsidRDefault="00C42A68" w:rsidP="00C42A68">
      <w:pPr>
        <w:ind w:firstLine="708"/>
        <w:jc w:val="both"/>
        <w:rPr>
          <w:b/>
          <w:bCs/>
          <w:sz w:val="24"/>
          <w:szCs w:val="24"/>
        </w:rPr>
      </w:pPr>
      <w:r w:rsidRPr="00300EC7">
        <w:rPr>
          <w:b/>
          <w:bCs/>
          <w:sz w:val="24"/>
          <w:szCs w:val="24"/>
        </w:rPr>
        <w:t>Из вышеуказанного следует, ч</w:t>
      </w:r>
      <w:r w:rsidR="000831E4" w:rsidRPr="00300EC7">
        <w:rPr>
          <w:b/>
          <w:bCs/>
          <w:sz w:val="24"/>
          <w:szCs w:val="24"/>
        </w:rPr>
        <w:t>то кадастровая стоимость Объектов</w:t>
      </w:r>
      <w:r w:rsidRPr="00300EC7">
        <w:rPr>
          <w:b/>
          <w:bCs/>
          <w:sz w:val="24"/>
          <w:szCs w:val="24"/>
        </w:rPr>
        <w:t xml:space="preserve"> значительно завышена по сравнению с рыночной стоимостью:</w:t>
      </w:r>
    </w:p>
    <w:p w:rsidR="007E5EF9" w:rsidRPr="00300EC7" w:rsidRDefault="007E5EF9" w:rsidP="00C42A68">
      <w:pPr>
        <w:ind w:firstLine="708"/>
        <w:jc w:val="both"/>
        <w:rPr>
          <w:b/>
          <w:bCs/>
          <w:sz w:val="24"/>
          <w:szCs w:val="24"/>
        </w:rPr>
      </w:pPr>
    </w:p>
    <w:tbl>
      <w:tblPr>
        <w:tblStyle w:val="ae"/>
        <w:tblW w:w="9781" w:type="dxa"/>
        <w:tblInd w:w="-5" w:type="dxa"/>
        <w:tblLook w:val="04A0" w:firstRow="1" w:lastRow="0" w:firstColumn="1" w:lastColumn="0" w:noHBand="0" w:noVBand="1"/>
      </w:tblPr>
      <w:tblGrid>
        <w:gridCol w:w="1101"/>
        <w:gridCol w:w="2549"/>
        <w:gridCol w:w="1414"/>
        <w:gridCol w:w="1740"/>
        <w:gridCol w:w="2977"/>
      </w:tblGrid>
      <w:tr w:rsidR="00561C0E" w:rsidRPr="00300EC7" w:rsidTr="003479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F9" w:rsidRPr="00300EC7" w:rsidRDefault="007E5EF9" w:rsidP="007E5EF9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0E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F9" w:rsidRPr="00300EC7" w:rsidRDefault="007E5EF9" w:rsidP="007E5EF9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9" w:rsidRPr="00300EC7" w:rsidRDefault="007E5EF9" w:rsidP="007E5EF9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объекта в кв.м.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9" w:rsidRPr="00300EC7" w:rsidRDefault="007E5EF9" w:rsidP="007E5EF9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9" w:rsidRPr="00300EC7" w:rsidRDefault="007E5EF9" w:rsidP="007E5E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Рыночная стоимость с учетом НДС на дату оценки 01.01.2016г.</w:t>
            </w:r>
          </w:p>
        </w:tc>
      </w:tr>
      <w:tr w:rsidR="00561C0E" w:rsidRPr="00300EC7" w:rsidTr="009067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9" w:rsidRPr="00300EC7" w:rsidRDefault="007E5EF9" w:rsidP="007E5EF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9" w:rsidRPr="00300EC7" w:rsidRDefault="007E5EF9" w:rsidP="007E5EF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9" w:rsidRPr="00300EC7" w:rsidRDefault="007E5EF9" w:rsidP="007E5E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9" w:rsidRPr="00300EC7" w:rsidRDefault="007E5EF9" w:rsidP="007E5EF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9" w:rsidRPr="00300EC7" w:rsidRDefault="007E5EF9" w:rsidP="007E5E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0E" w:rsidRPr="00300EC7" w:rsidTr="009067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9" w:rsidRPr="00300EC7" w:rsidRDefault="007E5EF9" w:rsidP="007E5EF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9" w:rsidRPr="00300EC7" w:rsidRDefault="007E5EF9" w:rsidP="007E5EF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9" w:rsidRPr="00300EC7" w:rsidRDefault="007E5EF9" w:rsidP="007E5E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9" w:rsidRPr="00300EC7" w:rsidRDefault="007E5EF9" w:rsidP="007E5EF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9" w:rsidRPr="00300EC7" w:rsidRDefault="007E5EF9" w:rsidP="007E5E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EF9" w:rsidRPr="00300EC7" w:rsidRDefault="007E5EF9" w:rsidP="00C42A68">
      <w:pPr>
        <w:ind w:firstLine="708"/>
        <w:jc w:val="both"/>
        <w:rPr>
          <w:rFonts w:eastAsia="Calibri"/>
          <w:b/>
          <w:bCs/>
          <w:sz w:val="24"/>
          <w:szCs w:val="24"/>
        </w:rPr>
      </w:pPr>
    </w:p>
    <w:p w:rsidR="00C42A68" w:rsidRPr="00300EC7" w:rsidRDefault="00C42A68" w:rsidP="00C42A68">
      <w:pPr>
        <w:ind w:firstLine="708"/>
        <w:jc w:val="both"/>
        <w:rPr>
          <w:b/>
          <w:bCs/>
          <w:sz w:val="24"/>
          <w:szCs w:val="24"/>
        </w:rPr>
      </w:pPr>
      <w:r w:rsidRPr="00300EC7">
        <w:rPr>
          <w:sz w:val="24"/>
          <w:szCs w:val="24"/>
        </w:rPr>
        <w:t>Таким образом, в государственный кадастр недвижимости внесены недостоверные сведения</w:t>
      </w:r>
      <w:r w:rsidR="000831E4" w:rsidRPr="00300EC7">
        <w:rPr>
          <w:sz w:val="24"/>
          <w:szCs w:val="24"/>
        </w:rPr>
        <w:t xml:space="preserve"> о кадастровой стоимости Объектов</w:t>
      </w:r>
      <w:r w:rsidRPr="00300EC7">
        <w:rPr>
          <w:sz w:val="24"/>
          <w:szCs w:val="24"/>
        </w:rPr>
        <w:t xml:space="preserve"> - без учета его действительной рыночной стоимости.</w:t>
      </w:r>
    </w:p>
    <w:p w:rsidR="00C42A68" w:rsidRPr="00300EC7" w:rsidRDefault="00C42A68" w:rsidP="00C42A68">
      <w:pPr>
        <w:ind w:firstLine="708"/>
        <w:jc w:val="both"/>
        <w:rPr>
          <w:b/>
          <w:bCs/>
          <w:sz w:val="24"/>
          <w:szCs w:val="24"/>
        </w:rPr>
      </w:pPr>
    </w:p>
    <w:p w:rsidR="000831E4" w:rsidRPr="00300EC7" w:rsidRDefault="00C42A68" w:rsidP="000831E4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300EC7">
        <w:rPr>
          <w:sz w:val="24"/>
          <w:szCs w:val="24"/>
        </w:rPr>
        <w:t xml:space="preserve"> 2. </w:t>
      </w:r>
      <w:r w:rsidR="000831E4" w:rsidRPr="00300EC7">
        <w:rPr>
          <w:sz w:val="24"/>
          <w:szCs w:val="24"/>
        </w:rPr>
        <w:t xml:space="preserve">В соответствии с абзацем 1 ст. 24.18 №135-ФЗ, </w:t>
      </w:r>
      <w:r w:rsidR="000831E4" w:rsidRPr="00300EC7">
        <w:rPr>
          <w:i/>
          <w:sz w:val="24"/>
          <w:szCs w:val="24"/>
        </w:rPr>
        <w:t>результаты определения кадастровой стоимости могут быть оспорены юридическими лицами в случае, если результаты определения кадастровой стоимости затрагивают права и обязанности этих лиц</w:t>
      </w:r>
      <w:r w:rsidR="000831E4" w:rsidRPr="00300EC7">
        <w:rPr>
          <w:sz w:val="24"/>
          <w:szCs w:val="24"/>
        </w:rPr>
        <w:t>, а также органами государственной власти, органами местного самоуправления в отношении объектов недвижимости, находящихся в государственной или муниципальной собственности</w:t>
      </w:r>
      <w:r w:rsidR="000831E4" w:rsidRPr="00300EC7">
        <w:rPr>
          <w:i/>
          <w:sz w:val="24"/>
          <w:szCs w:val="24"/>
        </w:rPr>
        <w:t>, в суде</w:t>
      </w:r>
      <w:r w:rsidR="000831E4" w:rsidRPr="00300EC7">
        <w:rPr>
          <w:sz w:val="24"/>
          <w:szCs w:val="24"/>
        </w:rPr>
        <w:t xml:space="preserve"> </w:t>
      </w:r>
      <w:r w:rsidR="000831E4" w:rsidRPr="00300EC7">
        <w:rPr>
          <w:i/>
          <w:sz w:val="24"/>
          <w:szCs w:val="24"/>
        </w:rPr>
        <w:t>и комиссии</w:t>
      </w:r>
      <w:r w:rsidR="000831E4" w:rsidRPr="00300EC7">
        <w:rPr>
          <w:sz w:val="24"/>
          <w:szCs w:val="24"/>
        </w:rPr>
        <w:t xml:space="preserve"> по рассмотрению споров о результатах определения кадастровой стоимости. </w:t>
      </w:r>
    </w:p>
    <w:p w:rsidR="00561C0E" w:rsidRPr="00300EC7" w:rsidRDefault="00561C0E" w:rsidP="000831E4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0831E4" w:rsidRPr="00300EC7" w:rsidRDefault="000831E4" w:rsidP="000831E4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300EC7">
        <w:rPr>
          <w:sz w:val="24"/>
          <w:szCs w:val="24"/>
        </w:rPr>
        <w:t xml:space="preserve">Данная норма предусматривает возможность оспаривания </w:t>
      </w:r>
      <w:r w:rsidR="0047461D" w:rsidRPr="00300EC7">
        <w:rPr>
          <w:sz w:val="24"/>
          <w:szCs w:val="24"/>
        </w:rPr>
        <w:t>правообладателем или</w:t>
      </w:r>
      <w:r w:rsidRPr="00300EC7">
        <w:rPr>
          <w:sz w:val="24"/>
          <w:szCs w:val="24"/>
        </w:rPr>
        <w:t xml:space="preserve"> иными заинтересованными лицами результатов кадастровой оценки любого объекта недвижимости в случае нарушения его прав завышенной кадастровой стоимостью.</w:t>
      </w:r>
    </w:p>
    <w:p w:rsidR="00561C0E" w:rsidRPr="00300EC7" w:rsidRDefault="00561C0E" w:rsidP="000831E4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0831E4" w:rsidRPr="00300EC7" w:rsidRDefault="000831E4" w:rsidP="000831E4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300EC7">
        <w:rPr>
          <w:sz w:val="24"/>
          <w:szCs w:val="24"/>
        </w:rPr>
        <w:t>Установление рыночной стоимости, полученной в результате индивидуальной оценки объектов, и внесение ее в качестве кадастровой стоимости направлены прежде всего на уточнение результатов массовой оценки, полученной без учета уникальных характеристик конкретных объектов недвижимости (п. 2.2. Определения Конституционного суда Российской Федерации от 01.03.2011г. № 275-0-0).</w:t>
      </w:r>
    </w:p>
    <w:p w:rsidR="00561C0E" w:rsidRPr="00300EC7" w:rsidRDefault="00561C0E" w:rsidP="000831E4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0831E4" w:rsidRPr="00300EC7" w:rsidRDefault="000831E4" w:rsidP="000831E4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300EC7">
        <w:rPr>
          <w:sz w:val="24"/>
          <w:szCs w:val="24"/>
        </w:rPr>
        <w:t xml:space="preserve">Согласно п.1 ст. 372 Налогового кодекса Российской Федерации </w:t>
      </w:r>
      <w:r w:rsidRPr="00300EC7">
        <w:rPr>
          <w:i/>
          <w:iCs/>
          <w:sz w:val="24"/>
          <w:szCs w:val="24"/>
        </w:rPr>
        <w:t xml:space="preserve">(далее - </w:t>
      </w:r>
      <w:r w:rsidRPr="00300EC7">
        <w:rPr>
          <w:b/>
          <w:bCs/>
          <w:i/>
          <w:iCs/>
          <w:sz w:val="24"/>
          <w:szCs w:val="24"/>
        </w:rPr>
        <w:t>«НК РФ»</w:t>
      </w:r>
      <w:r w:rsidRPr="00300EC7">
        <w:rPr>
          <w:i/>
          <w:iCs/>
          <w:sz w:val="24"/>
          <w:szCs w:val="24"/>
        </w:rPr>
        <w:t>)</w:t>
      </w:r>
      <w:r w:rsidRPr="00300EC7">
        <w:rPr>
          <w:sz w:val="24"/>
          <w:szCs w:val="24"/>
        </w:rPr>
        <w:t>, налог на имущество организаций устанавливается настоящим Кодексом и законами субъектов Российской Федерации, вводится в действие в соответствии с настоящим Кодексом законами субъектов Российской Федерации и с момента введения в действие обязателен к уплате на территории соответствующего субъекта Российской Федерации.</w:t>
      </w:r>
    </w:p>
    <w:p w:rsidR="00561C0E" w:rsidRPr="00300EC7" w:rsidRDefault="00561C0E" w:rsidP="000831E4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0831E4" w:rsidRPr="00300EC7" w:rsidRDefault="000831E4" w:rsidP="000831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0EC7">
        <w:rPr>
          <w:rFonts w:ascii="Times New Roman" w:hAnsi="Times New Roman" w:cs="Times New Roman"/>
        </w:rPr>
        <w:t>В п. 2 ст. 378.2 НК РФ указано, что закон субъекта Российской Федерации, устанавливающий особенности определения налоговой базы исходя из кадастровой стоимости объектов недвижимого имущества, указанных в пп.1, п.1 ст. 378.2 НК РФ, может быть принят только после утверждения субъектом Российской Федерации в установленном порядке результатов определения кадастровой стоимости объектов недвижимого имущества.</w:t>
      </w:r>
    </w:p>
    <w:p w:rsidR="00561C0E" w:rsidRPr="00300EC7" w:rsidRDefault="00561C0E" w:rsidP="000831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31E4" w:rsidRPr="00300EC7" w:rsidRDefault="000831E4" w:rsidP="000831E4">
      <w:pPr>
        <w:ind w:firstLine="708"/>
        <w:jc w:val="both"/>
        <w:rPr>
          <w:sz w:val="24"/>
          <w:szCs w:val="24"/>
        </w:rPr>
      </w:pPr>
      <w:r w:rsidRPr="00300EC7">
        <w:rPr>
          <w:sz w:val="24"/>
          <w:szCs w:val="24"/>
        </w:rPr>
        <w:t xml:space="preserve">В силу пункта 3 статьи 3 НК РФ налоги и сборы должны иметь экономическое основание и не могут быть произвольными. </w:t>
      </w:r>
    </w:p>
    <w:p w:rsidR="00561C0E" w:rsidRPr="00300EC7" w:rsidRDefault="00561C0E" w:rsidP="000831E4">
      <w:pPr>
        <w:ind w:firstLine="708"/>
        <w:jc w:val="both"/>
        <w:rPr>
          <w:sz w:val="24"/>
          <w:szCs w:val="24"/>
        </w:rPr>
      </w:pPr>
    </w:p>
    <w:p w:rsidR="000831E4" w:rsidRPr="00300EC7" w:rsidRDefault="000831E4" w:rsidP="000831E4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300EC7">
        <w:rPr>
          <w:sz w:val="24"/>
          <w:szCs w:val="24"/>
        </w:rPr>
        <w:t xml:space="preserve">Согласно </w:t>
      </w:r>
      <w:hyperlink r:id="rId7" w:history="1">
        <w:r w:rsidRPr="00300EC7">
          <w:rPr>
            <w:rStyle w:val="a8"/>
            <w:sz w:val="24"/>
            <w:szCs w:val="24"/>
          </w:rPr>
          <w:t>пункту 2 статьи 375</w:t>
        </w:r>
      </w:hyperlink>
      <w:r w:rsidRPr="00300EC7">
        <w:rPr>
          <w:sz w:val="24"/>
          <w:szCs w:val="24"/>
        </w:rPr>
        <w:t xml:space="preserve">, статьи 378.2 НК РФ </w:t>
      </w:r>
      <w:r w:rsidRPr="00300EC7">
        <w:rPr>
          <w:sz w:val="24"/>
          <w:szCs w:val="24"/>
          <w:u w:val="single"/>
        </w:rPr>
        <w:t>налоговая база по налогу на имущество организаций</w:t>
      </w:r>
      <w:r w:rsidRPr="00300EC7">
        <w:rPr>
          <w:sz w:val="24"/>
          <w:szCs w:val="24"/>
        </w:rPr>
        <w:t xml:space="preserve"> в отношении отдельных объектов недвижимого имущества </w:t>
      </w:r>
      <w:r w:rsidRPr="00300EC7">
        <w:rPr>
          <w:sz w:val="24"/>
          <w:szCs w:val="24"/>
          <w:u w:val="single"/>
        </w:rPr>
        <w:t>определяется как их кадастровая стоимость</w:t>
      </w:r>
      <w:r w:rsidRPr="00300EC7">
        <w:rPr>
          <w:sz w:val="24"/>
          <w:szCs w:val="24"/>
        </w:rPr>
        <w:t xml:space="preserve"> по состоянию на 1 января года налогового периода, утвержденная в установленном порядке.</w:t>
      </w:r>
    </w:p>
    <w:p w:rsidR="00561C0E" w:rsidRPr="00300EC7" w:rsidRDefault="00561C0E" w:rsidP="000831E4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0831E4" w:rsidRPr="00300EC7" w:rsidRDefault="000831E4" w:rsidP="000831E4">
      <w:pPr>
        <w:autoSpaceDE w:val="0"/>
        <w:ind w:firstLine="540"/>
        <w:jc w:val="both"/>
        <w:rPr>
          <w:sz w:val="24"/>
          <w:szCs w:val="24"/>
        </w:rPr>
      </w:pPr>
      <w:r w:rsidRPr="00300EC7">
        <w:rPr>
          <w:sz w:val="24"/>
          <w:szCs w:val="24"/>
        </w:rPr>
        <w:t xml:space="preserve">На основании пункта 1 ст. 374 НК РФ объектами налогообложения для российских организаций признается </w:t>
      </w:r>
      <w:hyperlink r:id="rId8" w:history="1">
        <w:r w:rsidRPr="00300EC7">
          <w:rPr>
            <w:rStyle w:val="a8"/>
            <w:sz w:val="24"/>
            <w:szCs w:val="24"/>
          </w:rPr>
          <w:t>движимое</w:t>
        </w:r>
      </w:hyperlink>
      <w:r w:rsidRPr="00300EC7">
        <w:rPr>
          <w:sz w:val="24"/>
          <w:szCs w:val="24"/>
        </w:rPr>
        <w:t xml:space="preserve"> и </w:t>
      </w:r>
      <w:hyperlink r:id="rId9" w:history="1">
        <w:r w:rsidRPr="00300EC7">
          <w:rPr>
            <w:rStyle w:val="a8"/>
            <w:sz w:val="24"/>
            <w:szCs w:val="24"/>
          </w:rPr>
          <w:t>недвижимое</w:t>
        </w:r>
      </w:hyperlink>
      <w:r w:rsidRPr="00300EC7">
        <w:rPr>
          <w:sz w:val="24"/>
          <w:szCs w:val="24"/>
        </w:rPr>
        <w:t xml:space="preserve"> имущество учитываемое на балансе в качестве объектов основных средств в </w:t>
      </w:r>
      <w:hyperlink r:id="rId10" w:history="1">
        <w:r w:rsidRPr="00300EC7">
          <w:rPr>
            <w:rStyle w:val="a8"/>
            <w:sz w:val="24"/>
            <w:szCs w:val="24"/>
          </w:rPr>
          <w:t>порядке</w:t>
        </w:r>
      </w:hyperlink>
      <w:r w:rsidRPr="00300EC7">
        <w:rPr>
          <w:sz w:val="24"/>
          <w:szCs w:val="24"/>
        </w:rPr>
        <w:t xml:space="preserve">, установленном для ведения бухгалтерского учета, если иное не предусмотрено </w:t>
      </w:r>
      <w:hyperlink r:id="rId11" w:history="1">
        <w:r w:rsidRPr="00300EC7">
          <w:rPr>
            <w:rStyle w:val="a8"/>
            <w:sz w:val="24"/>
            <w:szCs w:val="24"/>
          </w:rPr>
          <w:t>статьями 378</w:t>
        </w:r>
      </w:hyperlink>
      <w:r w:rsidRPr="00300EC7">
        <w:rPr>
          <w:sz w:val="24"/>
          <w:szCs w:val="24"/>
        </w:rPr>
        <w:t xml:space="preserve"> и </w:t>
      </w:r>
      <w:hyperlink r:id="rId12" w:history="1">
        <w:r w:rsidRPr="00300EC7">
          <w:rPr>
            <w:rStyle w:val="a8"/>
            <w:sz w:val="24"/>
            <w:szCs w:val="24"/>
          </w:rPr>
          <w:t>378.1</w:t>
        </w:r>
      </w:hyperlink>
      <w:r w:rsidRPr="00300EC7">
        <w:rPr>
          <w:sz w:val="24"/>
          <w:szCs w:val="24"/>
        </w:rPr>
        <w:t xml:space="preserve"> настоящего Кодекса.</w:t>
      </w:r>
    </w:p>
    <w:p w:rsidR="00561C0E" w:rsidRPr="00300EC7" w:rsidRDefault="00561C0E" w:rsidP="000831E4">
      <w:pPr>
        <w:autoSpaceDE w:val="0"/>
        <w:ind w:firstLine="540"/>
        <w:jc w:val="both"/>
        <w:rPr>
          <w:sz w:val="24"/>
          <w:szCs w:val="24"/>
          <w:shd w:val="clear" w:color="auto" w:fill="FFFF00"/>
        </w:rPr>
      </w:pPr>
    </w:p>
    <w:p w:rsidR="000831E4" w:rsidRDefault="000831E4" w:rsidP="000831E4">
      <w:pPr>
        <w:widowControl w:val="0"/>
        <w:autoSpaceDE w:val="0"/>
        <w:ind w:firstLine="540"/>
        <w:jc w:val="both"/>
        <w:rPr>
          <w:b/>
          <w:bCs/>
          <w:sz w:val="24"/>
          <w:szCs w:val="24"/>
        </w:rPr>
      </w:pPr>
      <w:r w:rsidRPr="00300EC7">
        <w:rPr>
          <w:b/>
          <w:bCs/>
          <w:sz w:val="24"/>
          <w:szCs w:val="24"/>
        </w:rPr>
        <w:t>Административный Истец</w:t>
      </w:r>
      <w:r w:rsidRPr="00300EC7">
        <w:rPr>
          <w:sz w:val="24"/>
          <w:szCs w:val="24"/>
        </w:rPr>
        <w:t>, как собственник, на основании вышеуказанного, по смыслу статей</w:t>
      </w:r>
      <w:r w:rsidRPr="00300EC7">
        <w:rPr>
          <w:b/>
          <w:sz w:val="24"/>
          <w:szCs w:val="24"/>
        </w:rPr>
        <w:t xml:space="preserve"> </w:t>
      </w:r>
      <w:r w:rsidRPr="00300EC7">
        <w:rPr>
          <w:sz w:val="24"/>
          <w:szCs w:val="24"/>
        </w:rPr>
        <w:t xml:space="preserve">372, 373 НК РФ </w:t>
      </w:r>
      <w:r w:rsidRPr="00300EC7">
        <w:rPr>
          <w:b/>
          <w:bCs/>
          <w:sz w:val="24"/>
          <w:szCs w:val="24"/>
        </w:rPr>
        <w:t xml:space="preserve">является плательщиком налога на имущество организации в отношении Объектов с кадастровыми номерами: </w:t>
      </w:r>
    </w:p>
    <w:tbl>
      <w:tblPr>
        <w:tblStyle w:val="ae"/>
        <w:tblW w:w="10060" w:type="dxa"/>
        <w:tblInd w:w="0" w:type="dxa"/>
        <w:tblLook w:val="04A0" w:firstRow="1" w:lastRow="0" w:firstColumn="1" w:lastColumn="0" w:noHBand="0" w:noVBand="1"/>
      </w:tblPr>
      <w:tblGrid>
        <w:gridCol w:w="668"/>
        <w:gridCol w:w="2533"/>
        <w:gridCol w:w="5441"/>
        <w:gridCol w:w="1418"/>
      </w:tblGrid>
      <w:tr w:rsidR="0047461D" w:rsidRPr="00300EC7" w:rsidTr="00A5726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1D" w:rsidRPr="00300EC7" w:rsidRDefault="0047461D" w:rsidP="00A5726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300E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1D" w:rsidRPr="00300EC7" w:rsidRDefault="0047461D" w:rsidP="00A5726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1D" w:rsidRPr="00300EC7" w:rsidRDefault="0047461D" w:rsidP="00A5726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местоположения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1D" w:rsidRPr="00300EC7" w:rsidRDefault="0047461D" w:rsidP="00A5726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объекта в кв.м.</w:t>
            </w:r>
          </w:p>
        </w:tc>
      </w:tr>
      <w:tr w:rsidR="0047461D" w:rsidRPr="00300EC7" w:rsidTr="0090674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D" w:rsidRPr="002B674C" w:rsidRDefault="0047461D" w:rsidP="00A57265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D" w:rsidRPr="002B674C" w:rsidRDefault="0047461D" w:rsidP="00A5726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D" w:rsidRPr="0047461D" w:rsidRDefault="0047461D" w:rsidP="00A5726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D" w:rsidRPr="002B674C" w:rsidRDefault="0047461D" w:rsidP="00A5726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1D" w:rsidRPr="00300EC7" w:rsidTr="0090674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D" w:rsidRPr="00300EC7" w:rsidRDefault="0047461D" w:rsidP="00A57265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D" w:rsidRPr="002B674C" w:rsidRDefault="0047461D" w:rsidP="00A57265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D" w:rsidRPr="00300EC7" w:rsidRDefault="0047461D" w:rsidP="00A5726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D" w:rsidRPr="002B674C" w:rsidRDefault="0047461D" w:rsidP="00A5726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A68" w:rsidRPr="00300EC7" w:rsidRDefault="00C42A68" w:rsidP="00561C0E">
      <w:pPr>
        <w:widowControl w:val="0"/>
        <w:autoSpaceDE w:val="0"/>
        <w:jc w:val="both"/>
        <w:rPr>
          <w:b/>
          <w:bCs/>
          <w:sz w:val="24"/>
          <w:szCs w:val="24"/>
        </w:rPr>
      </w:pPr>
    </w:p>
    <w:p w:rsidR="000831E4" w:rsidRPr="00300EC7" w:rsidRDefault="00C42A68" w:rsidP="000831E4">
      <w:pPr>
        <w:autoSpaceDE w:val="0"/>
        <w:ind w:firstLine="540"/>
        <w:jc w:val="both"/>
        <w:rPr>
          <w:bCs/>
          <w:sz w:val="24"/>
          <w:szCs w:val="24"/>
        </w:rPr>
      </w:pPr>
      <w:r w:rsidRPr="00300EC7">
        <w:rPr>
          <w:bCs/>
          <w:sz w:val="24"/>
          <w:szCs w:val="24"/>
        </w:rPr>
        <w:t>3.</w:t>
      </w:r>
      <w:r w:rsidR="00090B2E" w:rsidRPr="00300EC7">
        <w:rPr>
          <w:bCs/>
          <w:sz w:val="24"/>
          <w:szCs w:val="24"/>
        </w:rPr>
        <w:t xml:space="preserve"> </w:t>
      </w:r>
      <w:r w:rsidR="000831E4" w:rsidRPr="00300EC7">
        <w:rPr>
          <w:bCs/>
          <w:sz w:val="24"/>
          <w:szCs w:val="24"/>
        </w:rPr>
        <w:t xml:space="preserve">В соответствии с </w:t>
      </w:r>
      <w:hyperlink r:id="rId13" w:history="1">
        <w:r w:rsidR="000831E4" w:rsidRPr="00300EC7">
          <w:rPr>
            <w:rStyle w:val="a8"/>
            <w:sz w:val="24"/>
            <w:szCs w:val="24"/>
          </w:rPr>
          <w:t>частью 1 статьи 245</w:t>
        </w:r>
      </w:hyperlink>
      <w:r w:rsidR="000831E4" w:rsidRPr="00300EC7">
        <w:rPr>
          <w:bCs/>
          <w:sz w:val="24"/>
          <w:szCs w:val="24"/>
        </w:rPr>
        <w:t xml:space="preserve"> Кодекса административного судопроизводства Российской Федерации </w:t>
      </w:r>
      <w:r w:rsidR="000831E4" w:rsidRPr="00300EC7">
        <w:rPr>
          <w:bCs/>
          <w:i/>
          <w:iCs/>
          <w:sz w:val="24"/>
          <w:szCs w:val="24"/>
        </w:rPr>
        <w:t xml:space="preserve">(далее — </w:t>
      </w:r>
      <w:r w:rsidR="000831E4" w:rsidRPr="00300EC7">
        <w:rPr>
          <w:b/>
          <w:bCs/>
          <w:i/>
          <w:iCs/>
          <w:sz w:val="24"/>
          <w:szCs w:val="24"/>
        </w:rPr>
        <w:t>«КАС РФ»</w:t>
      </w:r>
      <w:r w:rsidR="000831E4" w:rsidRPr="00300EC7">
        <w:rPr>
          <w:bCs/>
          <w:i/>
          <w:iCs/>
          <w:sz w:val="24"/>
          <w:szCs w:val="24"/>
        </w:rPr>
        <w:t>)</w:t>
      </w:r>
      <w:r w:rsidR="000831E4" w:rsidRPr="00300EC7">
        <w:rPr>
          <w:bCs/>
          <w:sz w:val="24"/>
          <w:szCs w:val="24"/>
        </w:rPr>
        <w:t xml:space="preserve">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 случае, если результатами определения кадастровой стоимости затронуты их права и обязанности.</w:t>
      </w:r>
    </w:p>
    <w:p w:rsidR="00561C0E" w:rsidRPr="00300EC7" w:rsidRDefault="00561C0E" w:rsidP="000831E4">
      <w:pPr>
        <w:autoSpaceDE w:val="0"/>
        <w:ind w:firstLine="540"/>
        <w:jc w:val="both"/>
        <w:rPr>
          <w:bCs/>
          <w:sz w:val="24"/>
          <w:szCs w:val="24"/>
        </w:rPr>
      </w:pPr>
    </w:p>
    <w:p w:rsidR="000831E4" w:rsidRPr="00300EC7" w:rsidRDefault="000831E4" w:rsidP="00561C0E">
      <w:pPr>
        <w:ind w:firstLine="708"/>
        <w:jc w:val="both"/>
        <w:rPr>
          <w:bCs/>
          <w:sz w:val="24"/>
          <w:szCs w:val="24"/>
        </w:rPr>
      </w:pPr>
      <w:r w:rsidRPr="00300EC7">
        <w:rPr>
          <w:bCs/>
          <w:sz w:val="24"/>
          <w:szCs w:val="24"/>
        </w:rPr>
        <w:t>На основании пункта 15 статьи 20 КАС РФ Административный иск о пересмотре кадастровой стоимости подается в верховный суд республики, краевой, областной суд, суд города федерального значения, суд автономной области, суд автономного округа по месту нахождения заказчика работ либо государственного органа, определившего кадастровую стоимость.</w:t>
      </w:r>
    </w:p>
    <w:p w:rsidR="00561C0E" w:rsidRPr="00300EC7" w:rsidRDefault="00561C0E" w:rsidP="00561C0E">
      <w:pPr>
        <w:ind w:firstLine="708"/>
        <w:jc w:val="both"/>
        <w:rPr>
          <w:bCs/>
          <w:sz w:val="24"/>
          <w:szCs w:val="24"/>
        </w:rPr>
      </w:pPr>
    </w:p>
    <w:p w:rsidR="00561C0E" w:rsidRPr="00300EC7" w:rsidRDefault="00561C0E" w:rsidP="000831E4">
      <w:pPr>
        <w:ind w:firstLine="708"/>
        <w:jc w:val="both"/>
        <w:rPr>
          <w:b/>
          <w:sz w:val="24"/>
          <w:szCs w:val="24"/>
        </w:rPr>
      </w:pPr>
    </w:p>
    <w:p w:rsidR="000831E4" w:rsidRPr="00300EC7" w:rsidRDefault="000831E4" w:rsidP="000831E4">
      <w:pPr>
        <w:ind w:firstLine="708"/>
        <w:jc w:val="both"/>
        <w:rPr>
          <w:sz w:val="24"/>
          <w:szCs w:val="24"/>
        </w:rPr>
      </w:pPr>
      <w:r w:rsidRPr="00300EC7">
        <w:rPr>
          <w:b/>
          <w:sz w:val="24"/>
          <w:szCs w:val="24"/>
        </w:rPr>
        <w:t xml:space="preserve">Административный Истец обратился в суд с настоящим административным иском ввиду несоответствия кадастровой стоимости </w:t>
      </w:r>
      <w:r w:rsidR="00C73BF6" w:rsidRPr="00300EC7">
        <w:rPr>
          <w:b/>
          <w:sz w:val="24"/>
          <w:szCs w:val="24"/>
        </w:rPr>
        <w:t>Объектов недвижимости</w:t>
      </w:r>
      <w:r w:rsidRPr="00300EC7">
        <w:rPr>
          <w:b/>
          <w:sz w:val="24"/>
          <w:szCs w:val="24"/>
        </w:rPr>
        <w:t xml:space="preserve"> его рыночной стоимости и как следствие необоснованного увеличения налогового бремени Административного Истца, что влечет нарушение </w:t>
      </w:r>
      <w:r w:rsidR="00C73BF6" w:rsidRPr="00300EC7">
        <w:rPr>
          <w:b/>
          <w:sz w:val="24"/>
          <w:szCs w:val="24"/>
        </w:rPr>
        <w:t>его прав как собственника объектов</w:t>
      </w:r>
      <w:r w:rsidRPr="00300EC7">
        <w:rPr>
          <w:b/>
          <w:sz w:val="24"/>
          <w:szCs w:val="24"/>
        </w:rPr>
        <w:t xml:space="preserve"> и плательщика налога. </w:t>
      </w:r>
      <w:r w:rsidRPr="00300EC7">
        <w:rPr>
          <w:sz w:val="24"/>
          <w:szCs w:val="24"/>
        </w:rPr>
        <w:t>Права Административного Истца, нарушенные несоответствием внесенной в государственной в государственный кадастр недвижимос</w:t>
      </w:r>
      <w:r w:rsidR="00C73BF6" w:rsidRPr="00300EC7">
        <w:rPr>
          <w:sz w:val="24"/>
          <w:szCs w:val="24"/>
        </w:rPr>
        <w:t>ти кадастровой стоимости Объектов</w:t>
      </w:r>
      <w:r w:rsidRPr="00300EC7">
        <w:rPr>
          <w:sz w:val="24"/>
          <w:szCs w:val="24"/>
        </w:rPr>
        <w:t xml:space="preserve"> его рыночной стоимости, могут быть защищены лишь посредством внесения изменений в государственный кадастр недвижимости сведений</w:t>
      </w:r>
      <w:r w:rsidR="00C73BF6" w:rsidRPr="00300EC7">
        <w:rPr>
          <w:sz w:val="24"/>
          <w:szCs w:val="24"/>
        </w:rPr>
        <w:t xml:space="preserve"> о кадастровой стоимости Объектов</w:t>
      </w:r>
      <w:r w:rsidRPr="00300EC7">
        <w:rPr>
          <w:sz w:val="24"/>
          <w:szCs w:val="24"/>
        </w:rPr>
        <w:t xml:space="preserve"> в размере рыночной стоимости.</w:t>
      </w:r>
    </w:p>
    <w:p w:rsidR="00561C0E" w:rsidRPr="00300EC7" w:rsidRDefault="00561C0E" w:rsidP="000831E4">
      <w:pPr>
        <w:ind w:firstLine="708"/>
        <w:jc w:val="both"/>
        <w:rPr>
          <w:sz w:val="24"/>
          <w:szCs w:val="24"/>
        </w:rPr>
      </w:pPr>
    </w:p>
    <w:p w:rsidR="000831E4" w:rsidRPr="00300EC7" w:rsidRDefault="000831E4" w:rsidP="000831E4">
      <w:pPr>
        <w:ind w:firstLine="708"/>
        <w:jc w:val="both"/>
        <w:rPr>
          <w:sz w:val="24"/>
          <w:szCs w:val="24"/>
        </w:rPr>
      </w:pPr>
      <w:r w:rsidRPr="00300EC7">
        <w:rPr>
          <w:sz w:val="24"/>
          <w:szCs w:val="24"/>
        </w:rPr>
        <w:t>В соответствии с п.5 ст. 24.20 №135-ФЗ, в случае изменения кадастровой стоимости по решению комиссии или суда в порядке, установленном статьей 24.18 настоящего Федерального закона, сведения о кадастровой стоимости, установленной решением комиссии или суда, применяются для целей, предусмотренных Законодательством Российской Федерации с 1 января календарного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является предметом оспаривания.</w:t>
      </w:r>
    </w:p>
    <w:p w:rsidR="000831E4" w:rsidRPr="00300EC7" w:rsidRDefault="000831E4" w:rsidP="000831E4">
      <w:pPr>
        <w:ind w:firstLine="708"/>
        <w:jc w:val="both"/>
        <w:rPr>
          <w:sz w:val="24"/>
          <w:szCs w:val="24"/>
        </w:rPr>
      </w:pPr>
    </w:p>
    <w:p w:rsidR="000831E4" w:rsidRPr="00300EC7" w:rsidRDefault="000831E4" w:rsidP="000831E4">
      <w:pPr>
        <w:ind w:firstLine="708"/>
        <w:jc w:val="both"/>
        <w:rPr>
          <w:b/>
          <w:bCs/>
          <w:sz w:val="24"/>
          <w:szCs w:val="24"/>
        </w:rPr>
      </w:pPr>
      <w:r w:rsidRPr="00300EC7">
        <w:rPr>
          <w:b/>
          <w:bCs/>
          <w:sz w:val="24"/>
          <w:szCs w:val="24"/>
        </w:rPr>
        <w:t>На основании изложенного и руководствуясь ст.</w:t>
      </w:r>
      <w:r w:rsidR="001302CE">
        <w:rPr>
          <w:b/>
          <w:bCs/>
          <w:sz w:val="24"/>
          <w:szCs w:val="24"/>
        </w:rPr>
        <w:t xml:space="preserve"> </w:t>
      </w:r>
      <w:r w:rsidRPr="00300EC7">
        <w:rPr>
          <w:b/>
          <w:bCs/>
          <w:sz w:val="24"/>
          <w:szCs w:val="24"/>
        </w:rPr>
        <w:t>ст. 24.18, 24.20 №135-ФЗ РФ «Об оценочной деятельности в Российской Федерации», ст.</w:t>
      </w:r>
      <w:r w:rsidR="007C1AAE">
        <w:rPr>
          <w:b/>
          <w:bCs/>
          <w:sz w:val="24"/>
          <w:szCs w:val="24"/>
        </w:rPr>
        <w:t xml:space="preserve"> </w:t>
      </w:r>
      <w:r w:rsidRPr="00300EC7">
        <w:rPr>
          <w:b/>
          <w:bCs/>
          <w:sz w:val="24"/>
          <w:szCs w:val="24"/>
        </w:rPr>
        <w:t xml:space="preserve">ст. 372, 373, 374, 375, 378.2 Налогового Кодекса РФ; ст. 20, 41, 245-249 КАС РФ. </w:t>
      </w:r>
    </w:p>
    <w:p w:rsidR="00C42A68" w:rsidRPr="00300EC7" w:rsidRDefault="00C42A68" w:rsidP="000831E4">
      <w:pPr>
        <w:ind w:firstLine="708"/>
        <w:jc w:val="both"/>
        <w:rPr>
          <w:b/>
          <w:bCs/>
          <w:sz w:val="24"/>
          <w:szCs w:val="24"/>
        </w:rPr>
      </w:pPr>
    </w:p>
    <w:p w:rsidR="00C42A68" w:rsidRPr="00300EC7" w:rsidRDefault="00C42A68" w:rsidP="00C42A68">
      <w:pPr>
        <w:jc w:val="center"/>
        <w:rPr>
          <w:bCs/>
          <w:sz w:val="24"/>
          <w:szCs w:val="24"/>
        </w:rPr>
      </w:pPr>
      <w:r w:rsidRPr="00300EC7">
        <w:rPr>
          <w:b/>
          <w:bCs/>
          <w:sz w:val="24"/>
          <w:szCs w:val="24"/>
        </w:rPr>
        <w:t>ПРОШУ СУД:</w:t>
      </w:r>
    </w:p>
    <w:p w:rsidR="00C42A68" w:rsidRPr="00300EC7" w:rsidRDefault="00503500" w:rsidP="00C73BF6">
      <w:pPr>
        <w:pStyle w:val="ac"/>
        <w:numPr>
          <w:ilvl w:val="0"/>
          <w:numId w:val="7"/>
        </w:numPr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00EC7">
        <w:rPr>
          <w:rFonts w:ascii="Times New Roman" w:hAnsi="Times New Roman"/>
          <w:b/>
          <w:bCs/>
          <w:sz w:val="24"/>
          <w:szCs w:val="24"/>
        </w:rPr>
        <w:t xml:space="preserve">Установить с </w:t>
      </w:r>
      <w:r w:rsidR="00414D2E" w:rsidRPr="00300EC7">
        <w:rPr>
          <w:rFonts w:ascii="Times New Roman" w:hAnsi="Times New Roman"/>
          <w:b/>
          <w:bCs/>
          <w:sz w:val="24"/>
          <w:szCs w:val="24"/>
        </w:rPr>
        <w:t>«</w:t>
      </w:r>
      <w:r w:rsidR="0053674F" w:rsidRPr="00300EC7">
        <w:rPr>
          <w:rFonts w:ascii="Times New Roman" w:hAnsi="Times New Roman"/>
          <w:b/>
          <w:bCs/>
          <w:sz w:val="24"/>
          <w:szCs w:val="24"/>
        </w:rPr>
        <w:t>01</w:t>
      </w:r>
      <w:r w:rsidR="00414D2E" w:rsidRPr="00300EC7">
        <w:rPr>
          <w:rFonts w:ascii="Times New Roman" w:hAnsi="Times New Roman"/>
          <w:b/>
          <w:bCs/>
          <w:sz w:val="24"/>
          <w:szCs w:val="24"/>
        </w:rPr>
        <w:t>»</w:t>
      </w:r>
      <w:r w:rsidRPr="00300EC7">
        <w:rPr>
          <w:rFonts w:ascii="Times New Roman" w:hAnsi="Times New Roman"/>
          <w:b/>
          <w:bCs/>
          <w:sz w:val="24"/>
          <w:szCs w:val="24"/>
        </w:rPr>
        <w:t xml:space="preserve"> января</w:t>
      </w:r>
      <w:r w:rsidR="00D46DDB" w:rsidRPr="00300EC7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79546C">
        <w:rPr>
          <w:rFonts w:ascii="Times New Roman" w:hAnsi="Times New Roman"/>
          <w:b/>
          <w:bCs/>
          <w:sz w:val="24"/>
          <w:szCs w:val="24"/>
        </w:rPr>
        <w:t>8</w:t>
      </w:r>
      <w:r w:rsidR="00CD6476" w:rsidRPr="00300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2A68" w:rsidRPr="00300EC7">
        <w:rPr>
          <w:rFonts w:ascii="Times New Roman" w:hAnsi="Times New Roman"/>
          <w:b/>
          <w:bCs/>
          <w:sz w:val="24"/>
          <w:szCs w:val="24"/>
        </w:rPr>
        <w:t>года кадастровую стоимость</w:t>
      </w:r>
      <w:r w:rsidR="00C42A68" w:rsidRPr="00300EC7">
        <w:rPr>
          <w:rFonts w:ascii="Times New Roman" w:hAnsi="Times New Roman"/>
          <w:bCs/>
          <w:sz w:val="24"/>
          <w:szCs w:val="24"/>
        </w:rPr>
        <w:t xml:space="preserve"> </w:t>
      </w:r>
      <w:r w:rsidR="004E2B50" w:rsidRPr="00300EC7">
        <w:rPr>
          <w:rFonts w:ascii="Times New Roman" w:hAnsi="Times New Roman"/>
          <w:b/>
          <w:bCs/>
          <w:sz w:val="24"/>
          <w:szCs w:val="24"/>
        </w:rPr>
        <w:t>нежил</w:t>
      </w:r>
      <w:r w:rsidR="00C73BF6" w:rsidRPr="00300EC7">
        <w:rPr>
          <w:rFonts w:ascii="Times New Roman" w:hAnsi="Times New Roman"/>
          <w:b/>
          <w:bCs/>
          <w:sz w:val="24"/>
          <w:szCs w:val="24"/>
        </w:rPr>
        <w:t>ых</w:t>
      </w:r>
      <w:r w:rsidR="004E2B50" w:rsidRPr="00300EC7">
        <w:rPr>
          <w:rFonts w:ascii="Times New Roman" w:hAnsi="Times New Roman"/>
          <w:b/>
          <w:bCs/>
          <w:sz w:val="24"/>
          <w:szCs w:val="24"/>
        </w:rPr>
        <w:t xml:space="preserve"> помещени</w:t>
      </w:r>
      <w:r w:rsidR="00C73BF6" w:rsidRPr="00300EC7">
        <w:rPr>
          <w:rFonts w:ascii="Times New Roman" w:hAnsi="Times New Roman"/>
          <w:b/>
          <w:bCs/>
          <w:sz w:val="24"/>
          <w:szCs w:val="24"/>
        </w:rPr>
        <w:t>й</w:t>
      </w:r>
      <w:r w:rsidR="00C42A68" w:rsidRPr="00300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1A8B" w:rsidRPr="00300EC7">
        <w:rPr>
          <w:rFonts w:ascii="Times New Roman" w:hAnsi="Times New Roman"/>
          <w:b/>
          <w:bCs/>
          <w:sz w:val="24"/>
          <w:szCs w:val="24"/>
        </w:rPr>
        <w:t>равной их</w:t>
      </w:r>
      <w:r w:rsidR="00C42A68" w:rsidRPr="00300EC7">
        <w:rPr>
          <w:rFonts w:ascii="Times New Roman" w:hAnsi="Times New Roman"/>
          <w:b/>
          <w:bCs/>
          <w:sz w:val="24"/>
          <w:szCs w:val="24"/>
        </w:rPr>
        <w:t xml:space="preserve"> рыночной стоимости, </w:t>
      </w:r>
      <w:r w:rsidR="00C42A68" w:rsidRPr="00300EC7">
        <w:rPr>
          <w:rFonts w:ascii="Times New Roman" w:hAnsi="Times New Roman"/>
          <w:bCs/>
          <w:sz w:val="24"/>
          <w:szCs w:val="24"/>
        </w:rPr>
        <w:t>о</w:t>
      </w:r>
      <w:r w:rsidR="00C42A68" w:rsidRPr="00300EC7">
        <w:rPr>
          <w:rFonts w:ascii="Times New Roman" w:hAnsi="Times New Roman"/>
          <w:sz w:val="24"/>
          <w:szCs w:val="24"/>
        </w:rPr>
        <w:t>п</w:t>
      </w:r>
      <w:r w:rsidR="00CB4F6A" w:rsidRPr="00300EC7">
        <w:rPr>
          <w:rFonts w:ascii="Times New Roman" w:hAnsi="Times New Roman"/>
          <w:sz w:val="24"/>
          <w:szCs w:val="24"/>
        </w:rPr>
        <w:t xml:space="preserve">ределенной по состоянию на </w:t>
      </w:r>
      <w:r w:rsidR="00D46DDB" w:rsidRPr="00300EC7">
        <w:rPr>
          <w:rFonts w:ascii="Times New Roman" w:hAnsi="Times New Roman"/>
          <w:sz w:val="24"/>
          <w:szCs w:val="24"/>
        </w:rPr>
        <w:t>01.01.2016</w:t>
      </w:r>
      <w:r w:rsidR="00C42A68" w:rsidRPr="00300EC7">
        <w:rPr>
          <w:rFonts w:ascii="Times New Roman" w:hAnsi="Times New Roman"/>
          <w:sz w:val="24"/>
          <w:szCs w:val="24"/>
        </w:rPr>
        <w:t xml:space="preserve"> г.,</w:t>
      </w:r>
      <w:r w:rsidR="00C42A68" w:rsidRPr="00300EC7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="00656962" w:rsidRPr="00300EC7">
        <w:rPr>
          <w:rFonts w:ascii="Times New Roman" w:hAnsi="Times New Roman"/>
          <w:b/>
          <w:bCs/>
          <w:sz w:val="24"/>
          <w:szCs w:val="24"/>
        </w:rPr>
        <w:t>размере</w:t>
      </w:r>
      <w:r w:rsidR="00656962" w:rsidRPr="00300EC7"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624"/>
        <w:gridCol w:w="2332"/>
        <w:gridCol w:w="3447"/>
        <w:gridCol w:w="1409"/>
        <w:gridCol w:w="1958"/>
      </w:tblGrid>
      <w:tr w:rsidR="00C73BF6" w:rsidRPr="00300EC7" w:rsidTr="001302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F6" w:rsidRPr="00300EC7" w:rsidRDefault="00C73BF6" w:rsidP="00C73BF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0E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F6" w:rsidRPr="00300EC7" w:rsidRDefault="00C73BF6" w:rsidP="00C73BF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F6" w:rsidRPr="00300EC7" w:rsidRDefault="00C73BF6" w:rsidP="00C73BF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местоположения объекта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F6" w:rsidRPr="00300EC7" w:rsidRDefault="00C73BF6" w:rsidP="00C73BF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C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объекта в кв.м.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300EC7" w:rsidRDefault="00C73BF6" w:rsidP="00C73BF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Рыночная стоимость с учетом НДС на дату оценки 01.01.2016г.</w:t>
            </w:r>
          </w:p>
        </w:tc>
      </w:tr>
      <w:tr w:rsidR="00C73BF6" w:rsidRPr="00300EC7" w:rsidTr="009067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300EC7" w:rsidRDefault="00C73BF6" w:rsidP="00C73BF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300EC7" w:rsidRDefault="00C73BF6" w:rsidP="00C73BF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300EC7" w:rsidRDefault="00C73BF6" w:rsidP="00C73BF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300EC7" w:rsidRDefault="00C73BF6" w:rsidP="00C73BF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79546C" w:rsidRDefault="00C73BF6" w:rsidP="00C73BF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BF6" w:rsidRPr="00300EC7" w:rsidTr="009067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300EC7" w:rsidRDefault="00C73BF6" w:rsidP="00C73BF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300EC7" w:rsidRDefault="00C73BF6" w:rsidP="00C73BF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300EC7" w:rsidRDefault="00C73BF6" w:rsidP="00C73BF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300EC7" w:rsidRDefault="00C73BF6" w:rsidP="00C73BF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79546C" w:rsidRDefault="00C73BF6" w:rsidP="00C73BF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1A8B" w:rsidRPr="00300EC7" w:rsidRDefault="00261A8B" w:rsidP="00C42A68">
      <w:pPr>
        <w:jc w:val="both"/>
        <w:rPr>
          <w:b/>
          <w:bCs/>
          <w:sz w:val="24"/>
          <w:szCs w:val="24"/>
        </w:rPr>
      </w:pPr>
    </w:p>
    <w:p w:rsidR="004E40DE" w:rsidRPr="00300EC7" w:rsidRDefault="004E40DE" w:rsidP="00C42A68">
      <w:pPr>
        <w:jc w:val="both"/>
        <w:rPr>
          <w:b/>
          <w:bCs/>
          <w:sz w:val="24"/>
          <w:szCs w:val="24"/>
        </w:rPr>
      </w:pPr>
    </w:p>
    <w:p w:rsidR="00C42A68" w:rsidRPr="00300EC7" w:rsidRDefault="00C42A68" w:rsidP="00C42A68">
      <w:pPr>
        <w:jc w:val="both"/>
        <w:rPr>
          <w:bCs/>
          <w:sz w:val="24"/>
          <w:szCs w:val="24"/>
        </w:rPr>
      </w:pPr>
      <w:r w:rsidRPr="00300EC7">
        <w:rPr>
          <w:b/>
          <w:bCs/>
          <w:sz w:val="24"/>
          <w:szCs w:val="24"/>
        </w:rPr>
        <w:t>Приложения:</w:t>
      </w:r>
    </w:p>
    <w:p w:rsidR="00C42A68" w:rsidRPr="009D6E32" w:rsidRDefault="00C42A68" w:rsidP="00C42A68">
      <w:pPr>
        <w:pStyle w:val="ac"/>
        <w:numPr>
          <w:ilvl w:val="0"/>
          <w:numId w:val="1"/>
        </w:numPr>
        <w:spacing w:after="0" w:line="100" w:lineRule="atLeast"/>
        <w:ind w:left="284" w:hanging="284"/>
        <w:rPr>
          <w:rFonts w:ascii="Times New Roman" w:hAnsi="Times New Roman"/>
          <w:bCs/>
          <w:sz w:val="24"/>
          <w:szCs w:val="24"/>
        </w:rPr>
      </w:pPr>
      <w:r w:rsidRPr="009D6E32">
        <w:rPr>
          <w:rFonts w:ascii="Times New Roman" w:hAnsi="Times New Roman"/>
          <w:bCs/>
          <w:sz w:val="24"/>
          <w:szCs w:val="24"/>
        </w:rPr>
        <w:t>Подтверждение</w:t>
      </w:r>
      <w:r w:rsidR="00906745">
        <w:rPr>
          <w:rFonts w:ascii="Times New Roman" w:hAnsi="Times New Roman"/>
          <w:bCs/>
          <w:sz w:val="24"/>
          <w:szCs w:val="24"/>
        </w:rPr>
        <w:t xml:space="preserve"> оплаты государственной пошлины;</w:t>
      </w:r>
    </w:p>
    <w:p w:rsidR="00C73BF6" w:rsidRPr="009D6E32" w:rsidRDefault="00C73BF6" w:rsidP="00C73BF6">
      <w:pPr>
        <w:pStyle w:val="ac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D6E32">
        <w:rPr>
          <w:rFonts w:ascii="Times New Roman" w:hAnsi="Times New Roman"/>
          <w:bCs/>
          <w:sz w:val="24"/>
          <w:szCs w:val="24"/>
        </w:rPr>
        <w:t>Выписки из ЕГРН о кадастровой стоимости Объектов недвижимости</w:t>
      </w:r>
      <w:r w:rsidR="00906745">
        <w:rPr>
          <w:rFonts w:ascii="Times New Roman" w:hAnsi="Times New Roman"/>
          <w:bCs/>
          <w:sz w:val="24"/>
          <w:szCs w:val="24"/>
        </w:rPr>
        <w:t>;</w:t>
      </w:r>
    </w:p>
    <w:p w:rsidR="0079546C" w:rsidRPr="009D6E32" w:rsidRDefault="0079546C" w:rsidP="009D6E32">
      <w:pPr>
        <w:numPr>
          <w:ilvl w:val="0"/>
          <w:numId w:val="1"/>
        </w:numPr>
        <w:jc w:val="both"/>
        <w:rPr>
          <w:sz w:val="24"/>
          <w:szCs w:val="24"/>
        </w:rPr>
      </w:pPr>
      <w:r w:rsidRPr="009D6E32">
        <w:rPr>
          <w:sz w:val="24"/>
          <w:szCs w:val="24"/>
        </w:rPr>
        <w:t xml:space="preserve">Выписки из ЕГРН </w:t>
      </w:r>
      <w:r w:rsidR="009D6E32" w:rsidRPr="009D6E32">
        <w:rPr>
          <w:bCs/>
          <w:sz w:val="24"/>
          <w:szCs w:val="24"/>
        </w:rPr>
        <w:t>об основных характ</w:t>
      </w:r>
      <w:r w:rsidR="00906745">
        <w:rPr>
          <w:bCs/>
          <w:sz w:val="24"/>
          <w:szCs w:val="24"/>
        </w:rPr>
        <w:t>еристиках объектов недвижимости;</w:t>
      </w:r>
    </w:p>
    <w:p w:rsidR="00F67A55" w:rsidRPr="00300EC7" w:rsidRDefault="00F67A55" w:rsidP="00F67A55">
      <w:pPr>
        <w:numPr>
          <w:ilvl w:val="0"/>
          <w:numId w:val="1"/>
        </w:numPr>
        <w:jc w:val="both"/>
        <w:rPr>
          <w:sz w:val="24"/>
          <w:szCs w:val="24"/>
        </w:rPr>
      </w:pPr>
      <w:r w:rsidRPr="009D6E32">
        <w:rPr>
          <w:sz w:val="24"/>
          <w:szCs w:val="24"/>
        </w:rPr>
        <w:t>Отчет об оценке рыно</w:t>
      </w:r>
      <w:r w:rsidR="00906745">
        <w:rPr>
          <w:sz w:val="24"/>
          <w:szCs w:val="24"/>
        </w:rPr>
        <w:t>чной стоимости нежилых зданий №;</w:t>
      </w:r>
    </w:p>
    <w:p w:rsidR="00F67A55" w:rsidRPr="00300EC7" w:rsidRDefault="00F67A55" w:rsidP="00F67A55">
      <w:pPr>
        <w:numPr>
          <w:ilvl w:val="0"/>
          <w:numId w:val="1"/>
        </w:numPr>
        <w:jc w:val="both"/>
        <w:rPr>
          <w:sz w:val="24"/>
          <w:szCs w:val="24"/>
        </w:rPr>
      </w:pPr>
      <w:r w:rsidRPr="00300EC7">
        <w:rPr>
          <w:sz w:val="24"/>
          <w:szCs w:val="24"/>
        </w:rPr>
        <w:t xml:space="preserve">Электронный носитель </w:t>
      </w:r>
      <w:r w:rsidRPr="00300EC7">
        <w:rPr>
          <w:sz w:val="24"/>
          <w:szCs w:val="24"/>
          <w:lang w:val="en-US"/>
        </w:rPr>
        <w:t>c</w:t>
      </w:r>
      <w:r w:rsidRPr="00300EC7">
        <w:rPr>
          <w:sz w:val="24"/>
          <w:szCs w:val="24"/>
        </w:rPr>
        <w:t xml:space="preserve"> электронной версией отчета об оценке рыночной стоимости нежилых зданий</w:t>
      </w:r>
      <w:r w:rsidR="00561C0E" w:rsidRPr="00300EC7">
        <w:rPr>
          <w:sz w:val="24"/>
          <w:szCs w:val="24"/>
        </w:rPr>
        <w:t>;</w:t>
      </w:r>
    </w:p>
    <w:p w:rsidR="00F67A55" w:rsidRPr="00300EC7" w:rsidRDefault="00F67A55" w:rsidP="00F67A55">
      <w:pPr>
        <w:numPr>
          <w:ilvl w:val="0"/>
          <w:numId w:val="1"/>
        </w:numPr>
        <w:jc w:val="both"/>
        <w:rPr>
          <w:sz w:val="24"/>
          <w:szCs w:val="24"/>
        </w:rPr>
      </w:pPr>
      <w:r w:rsidRPr="00300EC7">
        <w:rPr>
          <w:sz w:val="24"/>
          <w:szCs w:val="24"/>
        </w:rPr>
        <w:t>Доверенность на право представления интересов</w:t>
      </w:r>
      <w:r w:rsidR="00561C0E" w:rsidRPr="00300EC7">
        <w:rPr>
          <w:sz w:val="24"/>
          <w:szCs w:val="24"/>
        </w:rPr>
        <w:t>;</w:t>
      </w:r>
    </w:p>
    <w:p w:rsidR="00C42A68" w:rsidRPr="00300EC7" w:rsidRDefault="00FB314A" w:rsidP="00F67A55">
      <w:pPr>
        <w:pStyle w:val="ac"/>
        <w:numPr>
          <w:ilvl w:val="0"/>
          <w:numId w:val="1"/>
        </w:numPr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300EC7">
        <w:rPr>
          <w:rFonts w:ascii="Times New Roman" w:hAnsi="Times New Roman"/>
          <w:bCs/>
          <w:sz w:val="24"/>
          <w:szCs w:val="24"/>
        </w:rPr>
        <w:t>Диплом</w:t>
      </w:r>
      <w:r w:rsidR="00C42A68" w:rsidRPr="00300EC7">
        <w:rPr>
          <w:rFonts w:ascii="Times New Roman" w:hAnsi="Times New Roman"/>
          <w:bCs/>
          <w:sz w:val="24"/>
          <w:szCs w:val="24"/>
        </w:rPr>
        <w:t xml:space="preserve"> </w:t>
      </w:r>
      <w:r w:rsidR="00906745">
        <w:rPr>
          <w:rFonts w:ascii="Times New Roman" w:hAnsi="Times New Roman"/>
          <w:bCs/>
          <w:sz w:val="24"/>
          <w:szCs w:val="24"/>
        </w:rPr>
        <w:t>о наличии высшего юридического образования представителя истца</w:t>
      </w:r>
      <w:r w:rsidR="00C42A68" w:rsidRPr="00300EC7">
        <w:rPr>
          <w:rFonts w:ascii="Times New Roman" w:hAnsi="Times New Roman"/>
          <w:bCs/>
          <w:sz w:val="24"/>
          <w:szCs w:val="24"/>
        </w:rPr>
        <w:t>;</w:t>
      </w:r>
    </w:p>
    <w:p w:rsidR="00C42A68" w:rsidRDefault="00C42A68" w:rsidP="00C42A68">
      <w:pPr>
        <w:numPr>
          <w:ilvl w:val="0"/>
          <w:numId w:val="1"/>
        </w:numPr>
        <w:suppressAutoHyphens/>
        <w:jc w:val="both"/>
        <w:rPr>
          <w:bCs/>
          <w:sz w:val="24"/>
          <w:szCs w:val="24"/>
        </w:rPr>
      </w:pPr>
      <w:r w:rsidRPr="00300EC7">
        <w:rPr>
          <w:bCs/>
          <w:sz w:val="24"/>
          <w:szCs w:val="24"/>
        </w:rPr>
        <w:t>Копии административного искового заявления и приложенных к нему документ</w:t>
      </w:r>
      <w:r w:rsidR="003A4AB0" w:rsidRPr="00300EC7">
        <w:rPr>
          <w:bCs/>
          <w:sz w:val="24"/>
          <w:szCs w:val="24"/>
        </w:rPr>
        <w:t>ов лицам</w:t>
      </w:r>
      <w:r w:rsidR="00906745">
        <w:rPr>
          <w:bCs/>
          <w:sz w:val="24"/>
          <w:szCs w:val="24"/>
        </w:rPr>
        <w:t>;</w:t>
      </w:r>
    </w:p>
    <w:p w:rsidR="00906745" w:rsidRPr="00300EC7" w:rsidRDefault="00906745" w:rsidP="00C42A68">
      <w:pPr>
        <w:numPr>
          <w:ilvl w:val="0"/>
          <w:numId w:val="1"/>
        </w:num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Для Компаний подтверждение досудебного порядка рассмотрения спора – Решение Комиссии Росреестра.</w:t>
      </w:r>
    </w:p>
    <w:p w:rsidR="00702E31" w:rsidRPr="00300EC7" w:rsidRDefault="00702E31" w:rsidP="00702E31">
      <w:pPr>
        <w:suppressAutoHyphens/>
        <w:ind w:left="360"/>
        <w:jc w:val="both"/>
        <w:rPr>
          <w:bCs/>
          <w:sz w:val="24"/>
          <w:szCs w:val="24"/>
          <w:highlight w:val="yellow"/>
        </w:rPr>
      </w:pPr>
    </w:p>
    <w:p w:rsidR="00C42A68" w:rsidRPr="00300EC7" w:rsidRDefault="00C42A68" w:rsidP="00C42A68">
      <w:pPr>
        <w:jc w:val="both"/>
        <w:rPr>
          <w:bCs/>
          <w:sz w:val="24"/>
          <w:szCs w:val="24"/>
        </w:rPr>
      </w:pPr>
      <w:r w:rsidRPr="00300EC7">
        <w:rPr>
          <w:bCs/>
          <w:sz w:val="24"/>
          <w:szCs w:val="24"/>
        </w:rPr>
        <w:t>Представитель Административного Истца</w:t>
      </w:r>
    </w:p>
    <w:p w:rsidR="00C42A68" w:rsidRPr="00B61F49" w:rsidRDefault="00B61F49" w:rsidP="00C42A68">
      <w:pPr>
        <w:jc w:val="both"/>
        <w:rPr>
          <w:bCs/>
          <w:sz w:val="24"/>
          <w:szCs w:val="24"/>
          <w:u w:val="single"/>
          <w:lang w:val="en-US"/>
        </w:rPr>
      </w:pPr>
      <w:r>
        <w:rPr>
          <w:bCs/>
          <w:sz w:val="24"/>
          <w:szCs w:val="24"/>
        </w:rPr>
        <w:t xml:space="preserve">По доверенности </w:t>
      </w:r>
      <w:r>
        <w:rPr>
          <w:bCs/>
          <w:sz w:val="24"/>
          <w:szCs w:val="24"/>
          <w:lang w:val="en-US"/>
        </w:rPr>
        <w:t>/______________________/</w:t>
      </w:r>
      <w:bookmarkStart w:id="0" w:name="_GoBack"/>
      <w:bookmarkEnd w:id="0"/>
    </w:p>
    <w:p w:rsidR="00154DB7" w:rsidRPr="00300EC7" w:rsidRDefault="00154DB7">
      <w:pPr>
        <w:jc w:val="both"/>
        <w:rPr>
          <w:color w:val="00B050"/>
          <w:sz w:val="24"/>
          <w:szCs w:val="24"/>
        </w:rPr>
      </w:pPr>
    </w:p>
    <w:p w:rsidR="00CB4F6A" w:rsidRPr="00300EC7" w:rsidRDefault="00CB4F6A">
      <w:pPr>
        <w:jc w:val="both"/>
        <w:rPr>
          <w:color w:val="00B050"/>
          <w:sz w:val="24"/>
          <w:szCs w:val="24"/>
        </w:rPr>
      </w:pPr>
    </w:p>
    <w:sectPr w:rsidR="00CB4F6A" w:rsidRPr="00300EC7" w:rsidSect="00C42A68">
      <w:pgSz w:w="11906" w:h="16838"/>
      <w:pgMar w:top="1134" w:right="850" w:bottom="1134" w:left="1276" w:header="72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B12" w:rsidRDefault="00AF5B12" w:rsidP="00154DB7">
      <w:r>
        <w:separator/>
      </w:r>
    </w:p>
  </w:endnote>
  <w:endnote w:type="continuationSeparator" w:id="0">
    <w:p w:rsidR="00AF5B12" w:rsidRDefault="00AF5B12" w:rsidP="0015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B12" w:rsidRDefault="00AF5B12" w:rsidP="00154DB7">
      <w:r>
        <w:separator/>
      </w:r>
    </w:p>
  </w:footnote>
  <w:footnote w:type="continuationSeparator" w:id="0">
    <w:p w:rsidR="00AF5B12" w:rsidRDefault="00AF5B12" w:rsidP="0015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1E02A77"/>
    <w:multiLevelType w:val="hybridMultilevel"/>
    <w:tmpl w:val="632856F2"/>
    <w:lvl w:ilvl="0" w:tplc="4DE6B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06913"/>
    <w:multiLevelType w:val="hybridMultilevel"/>
    <w:tmpl w:val="4444638C"/>
    <w:lvl w:ilvl="0" w:tplc="BCD4BB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24403"/>
    <w:multiLevelType w:val="hybridMultilevel"/>
    <w:tmpl w:val="226A89AA"/>
    <w:lvl w:ilvl="0" w:tplc="7214FDE6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b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C723D"/>
    <w:multiLevelType w:val="multilevel"/>
    <w:tmpl w:val="BCB2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9E"/>
    <w:rsid w:val="000512F3"/>
    <w:rsid w:val="000605D1"/>
    <w:rsid w:val="000831E4"/>
    <w:rsid w:val="000845EB"/>
    <w:rsid w:val="00090B2E"/>
    <w:rsid w:val="000C180F"/>
    <w:rsid w:val="000E415B"/>
    <w:rsid w:val="001073B5"/>
    <w:rsid w:val="001302CE"/>
    <w:rsid w:val="001311BF"/>
    <w:rsid w:val="00133235"/>
    <w:rsid w:val="00154DB7"/>
    <w:rsid w:val="0018029D"/>
    <w:rsid w:val="001A6F21"/>
    <w:rsid w:val="001A7BB0"/>
    <w:rsid w:val="001B3CF9"/>
    <w:rsid w:val="001C0932"/>
    <w:rsid w:val="001C365D"/>
    <w:rsid w:val="001E1959"/>
    <w:rsid w:val="001E6317"/>
    <w:rsid w:val="001E6986"/>
    <w:rsid w:val="00207F72"/>
    <w:rsid w:val="00220014"/>
    <w:rsid w:val="00225F1E"/>
    <w:rsid w:val="00261A8B"/>
    <w:rsid w:val="00266A79"/>
    <w:rsid w:val="002765A7"/>
    <w:rsid w:val="00297251"/>
    <w:rsid w:val="002B674C"/>
    <w:rsid w:val="002B71DD"/>
    <w:rsid w:val="002C3B4F"/>
    <w:rsid w:val="002D4EF8"/>
    <w:rsid w:val="002E27B1"/>
    <w:rsid w:val="00300EC7"/>
    <w:rsid w:val="00313BF7"/>
    <w:rsid w:val="00324CD4"/>
    <w:rsid w:val="003279D6"/>
    <w:rsid w:val="003465B4"/>
    <w:rsid w:val="00347937"/>
    <w:rsid w:val="003510BD"/>
    <w:rsid w:val="0037627B"/>
    <w:rsid w:val="00390568"/>
    <w:rsid w:val="003933C8"/>
    <w:rsid w:val="003A4AB0"/>
    <w:rsid w:val="00400B7C"/>
    <w:rsid w:val="00404A9D"/>
    <w:rsid w:val="00406B55"/>
    <w:rsid w:val="00414D2E"/>
    <w:rsid w:val="004167CB"/>
    <w:rsid w:val="004174C1"/>
    <w:rsid w:val="004278F8"/>
    <w:rsid w:val="00455E54"/>
    <w:rsid w:val="004569DF"/>
    <w:rsid w:val="0046014F"/>
    <w:rsid w:val="0047461D"/>
    <w:rsid w:val="00487B81"/>
    <w:rsid w:val="004A1BC3"/>
    <w:rsid w:val="004A5E5E"/>
    <w:rsid w:val="004A7DE7"/>
    <w:rsid w:val="004C1447"/>
    <w:rsid w:val="004E2B50"/>
    <w:rsid w:val="004E40DE"/>
    <w:rsid w:val="004E5448"/>
    <w:rsid w:val="00500D5C"/>
    <w:rsid w:val="00503500"/>
    <w:rsid w:val="00534B80"/>
    <w:rsid w:val="0053674F"/>
    <w:rsid w:val="00561C0E"/>
    <w:rsid w:val="00564348"/>
    <w:rsid w:val="005707E0"/>
    <w:rsid w:val="00591598"/>
    <w:rsid w:val="005A2154"/>
    <w:rsid w:val="005B0165"/>
    <w:rsid w:val="005F1D9A"/>
    <w:rsid w:val="00605B38"/>
    <w:rsid w:val="0060715A"/>
    <w:rsid w:val="00611773"/>
    <w:rsid w:val="006442C6"/>
    <w:rsid w:val="00645A6E"/>
    <w:rsid w:val="00656962"/>
    <w:rsid w:val="00691725"/>
    <w:rsid w:val="006C7752"/>
    <w:rsid w:val="006F5A02"/>
    <w:rsid w:val="00702138"/>
    <w:rsid w:val="00702E31"/>
    <w:rsid w:val="00703C87"/>
    <w:rsid w:val="0071466A"/>
    <w:rsid w:val="007219B9"/>
    <w:rsid w:val="00725FF3"/>
    <w:rsid w:val="00745D79"/>
    <w:rsid w:val="007534AB"/>
    <w:rsid w:val="0078399E"/>
    <w:rsid w:val="0079546C"/>
    <w:rsid w:val="007B27B2"/>
    <w:rsid w:val="007C1AAE"/>
    <w:rsid w:val="007D41F8"/>
    <w:rsid w:val="007E0972"/>
    <w:rsid w:val="007E5EF9"/>
    <w:rsid w:val="00811EAE"/>
    <w:rsid w:val="0081246B"/>
    <w:rsid w:val="00825E36"/>
    <w:rsid w:val="00847761"/>
    <w:rsid w:val="00875FAC"/>
    <w:rsid w:val="008B2309"/>
    <w:rsid w:val="008C5C44"/>
    <w:rsid w:val="008F20D3"/>
    <w:rsid w:val="008F2F5B"/>
    <w:rsid w:val="008F6559"/>
    <w:rsid w:val="00903822"/>
    <w:rsid w:val="00906745"/>
    <w:rsid w:val="009530D6"/>
    <w:rsid w:val="00963D4C"/>
    <w:rsid w:val="009816D4"/>
    <w:rsid w:val="009848E7"/>
    <w:rsid w:val="009937DD"/>
    <w:rsid w:val="009A544D"/>
    <w:rsid w:val="009C218A"/>
    <w:rsid w:val="009D0A68"/>
    <w:rsid w:val="009D6E32"/>
    <w:rsid w:val="009E535D"/>
    <w:rsid w:val="009E79B5"/>
    <w:rsid w:val="00A1130C"/>
    <w:rsid w:val="00A24E2E"/>
    <w:rsid w:val="00A344EB"/>
    <w:rsid w:val="00A40BE3"/>
    <w:rsid w:val="00A43655"/>
    <w:rsid w:val="00A76D93"/>
    <w:rsid w:val="00A94D18"/>
    <w:rsid w:val="00AA768B"/>
    <w:rsid w:val="00AB341F"/>
    <w:rsid w:val="00AB4AAB"/>
    <w:rsid w:val="00AD2B5E"/>
    <w:rsid w:val="00AE6A14"/>
    <w:rsid w:val="00AF5B12"/>
    <w:rsid w:val="00B00BE5"/>
    <w:rsid w:val="00B0735D"/>
    <w:rsid w:val="00B303A2"/>
    <w:rsid w:val="00B30FF4"/>
    <w:rsid w:val="00B350FC"/>
    <w:rsid w:val="00B36524"/>
    <w:rsid w:val="00B4088C"/>
    <w:rsid w:val="00B611C7"/>
    <w:rsid w:val="00B61F49"/>
    <w:rsid w:val="00B64298"/>
    <w:rsid w:val="00B724D2"/>
    <w:rsid w:val="00B801B4"/>
    <w:rsid w:val="00B8047C"/>
    <w:rsid w:val="00B90B1B"/>
    <w:rsid w:val="00BB5D03"/>
    <w:rsid w:val="00BC2274"/>
    <w:rsid w:val="00BC6B69"/>
    <w:rsid w:val="00BD17A9"/>
    <w:rsid w:val="00BD64D5"/>
    <w:rsid w:val="00BF0570"/>
    <w:rsid w:val="00BF4E7B"/>
    <w:rsid w:val="00C005D0"/>
    <w:rsid w:val="00C0706F"/>
    <w:rsid w:val="00C1638E"/>
    <w:rsid w:val="00C21035"/>
    <w:rsid w:val="00C244A0"/>
    <w:rsid w:val="00C42A68"/>
    <w:rsid w:val="00C61B06"/>
    <w:rsid w:val="00C671F9"/>
    <w:rsid w:val="00C73BF6"/>
    <w:rsid w:val="00CA7112"/>
    <w:rsid w:val="00CB4F6A"/>
    <w:rsid w:val="00CB6C15"/>
    <w:rsid w:val="00CD6476"/>
    <w:rsid w:val="00CE2E3B"/>
    <w:rsid w:val="00CE7B78"/>
    <w:rsid w:val="00CF7712"/>
    <w:rsid w:val="00D02C6D"/>
    <w:rsid w:val="00D04CF6"/>
    <w:rsid w:val="00D07756"/>
    <w:rsid w:val="00D46DDB"/>
    <w:rsid w:val="00D47ED9"/>
    <w:rsid w:val="00D65117"/>
    <w:rsid w:val="00D75BD4"/>
    <w:rsid w:val="00D86813"/>
    <w:rsid w:val="00D932CC"/>
    <w:rsid w:val="00DB217E"/>
    <w:rsid w:val="00DE3CA7"/>
    <w:rsid w:val="00DE608F"/>
    <w:rsid w:val="00DF12E7"/>
    <w:rsid w:val="00DF3052"/>
    <w:rsid w:val="00DF37DE"/>
    <w:rsid w:val="00E031EE"/>
    <w:rsid w:val="00E16A1D"/>
    <w:rsid w:val="00E16D62"/>
    <w:rsid w:val="00E345D8"/>
    <w:rsid w:val="00E479D0"/>
    <w:rsid w:val="00E61EE4"/>
    <w:rsid w:val="00E75E4C"/>
    <w:rsid w:val="00E81545"/>
    <w:rsid w:val="00E83C24"/>
    <w:rsid w:val="00EA11DA"/>
    <w:rsid w:val="00EA539C"/>
    <w:rsid w:val="00EB6CA8"/>
    <w:rsid w:val="00ED4A15"/>
    <w:rsid w:val="00EF0DE0"/>
    <w:rsid w:val="00F13EAC"/>
    <w:rsid w:val="00F3479F"/>
    <w:rsid w:val="00F603A3"/>
    <w:rsid w:val="00F67A55"/>
    <w:rsid w:val="00F77955"/>
    <w:rsid w:val="00F800D1"/>
    <w:rsid w:val="00F8588A"/>
    <w:rsid w:val="00FA30C5"/>
    <w:rsid w:val="00FB314A"/>
    <w:rsid w:val="00FE2788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63A349"/>
  <w15:docId w15:val="{DBF8F284-099E-4C09-884E-54001525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F8"/>
    <w:rPr>
      <w:color w:val="000000"/>
    </w:rPr>
  </w:style>
  <w:style w:type="paragraph" w:styleId="1">
    <w:name w:val="heading 1"/>
    <w:basedOn w:val="a"/>
    <w:next w:val="a"/>
    <w:qFormat/>
    <w:rsid w:val="002D4EF8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2D4EF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354"/>
      </w:tabs>
    </w:pPr>
    <w:rPr>
      <w:rFonts w:ascii="Courier New" w:hAnsi="Courier New" w:cs="Courier New"/>
    </w:rPr>
  </w:style>
  <w:style w:type="paragraph" w:styleId="2">
    <w:name w:val="Body Text 2"/>
    <w:basedOn w:val="a"/>
    <w:rsid w:val="002D4EF8"/>
    <w:rPr>
      <w:sz w:val="24"/>
    </w:rPr>
  </w:style>
  <w:style w:type="paragraph" w:styleId="a4">
    <w:name w:val="Body Text"/>
    <w:basedOn w:val="a"/>
    <w:rsid w:val="002D4EF8"/>
    <w:pPr>
      <w:jc w:val="both"/>
    </w:pPr>
    <w:rPr>
      <w:b/>
      <w:sz w:val="24"/>
    </w:rPr>
  </w:style>
  <w:style w:type="paragraph" w:styleId="3">
    <w:name w:val="Body Text 3"/>
    <w:basedOn w:val="a"/>
    <w:rsid w:val="002D4EF8"/>
    <w:rPr>
      <w:i/>
      <w:color w:val="00CCFF"/>
      <w:sz w:val="22"/>
    </w:rPr>
  </w:style>
  <w:style w:type="paragraph" w:customStyle="1" w:styleId="Preformatted">
    <w:name w:val="Preformatted"/>
    <w:basedOn w:val="a"/>
    <w:rsid w:val="002D4EF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354"/>
      </w:tabs>
    </w:pPr>
    <w:rPr>
      <w:rFonts w:ascii="Courier New" w:hAnsi="Courier New" w:cs="Courier New"/>
    </w:rPr>
  </w:style>
  <w:style w:type="paragraph" w:styleId="a5">
    <w:name w:val="Balloon Text"/>
    <w:basedOn w:val="a"/>
    <w:rsid w:val="002D4EF8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D4EF8"/>
    <w:pPr>
      <w:tabs>
        <w:tab w:val="center" w:pos="4677"/>
        <w:tab w:val="right" w:pos="9354"/>
      </w:tabs>
    </w:pPr>
  </w:style>
  <w:style w:type="paragraph" w:styleId="a7">
    <w:name w:val="header"/>
    <w:basedOn w:val="a"/>
    <w:rsid w:val="002D4EF8"/>
    <w:pPr>
      <w:tabs>
        <w:tab w:val="center" w:pos="4677"/>
        <w:tab w:val="right" w:pos="9354"/>
      </w:tabs>
    </w:pPr>
  </w:style>
  <w:style w:type="character" w:styleId="a8">
    <w:name w:val="Hyperlink"/>
    <w:rsid w:val="002D4EF8"/>
    <w:rPr>
      <w:color w:val="000000"/>
      <w:u w:val="single"/>
    </w:rPr>
  </w:style>
  <w:style w:type="character" w:customStyle="1" w:styleId="a9">
    <w:name w:val="Текст выноски Знак"/>
    <w:rsid w:val="002D4E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4EF8"/>
  </w:style>
  <w:style w:type="character" w:styleId="aa">
    <w:name w:val="Strong"/>
    <w:qFormat/>
    <w:rsid w:val="002D4EF8"/>
    <w:rPr>
      <w:b/>
      <w:bCs w:val="0"/>
    </w:rPr>
  </w:style>
  <w:style w:type="character" w:customStyle="1" w:styleId="ab">
    <w:name w:val="Верхний колонтитул Знак"/>
    <w:rsid w:val="002D4EF8"/>
    <w:rPr>
      <w:color w:val="000000"/>
    </w:rPr>
  </w:style>
  <w:style w:type="paragraph" w:styleId="ac">
    <w:name w:val="List Paragraph"/>
    <w:basedOn w:val="a"/>
    <w:qFormat/>
    <w:rsid w:val="00C42A68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d">
    <w:name w:val="Normal (Web)"/>
    <w:basedOn w:val="a"/>
    <w:uiPriority w:val="99"/>
    <w:semiHidden/>
    <w:unhideWhenUsed/>
    <w:rsid w:val="00D02C6D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rsid w:val="00E61EE4"/>
    <w:pPr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paragraph" w:customStyle="1" w:styleId="western">
    <w:name w:val="western"/>
    <w:basedOn w:val="a"/>
    <w:rsid w:val="0060715A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e">
    <w:name w:val="Table Grid"/>
    <w:basedOn w:val="a1"/>
    <w:uiPriority w:val="39"/>
    <w:rsid w:val="00DB2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EA539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CB0DE7074DC4995F5A0418E019A7FEF978D79392583EE4438CC78EBBAF53E84612A18138E9D15DF4U5wCJ" TargetMode="External"/><Relationship Id="rId13" Type="http://schemas.openxmlformats.org/officeDocument/2006/relationships/hyperlink" Target="consultantplus://offline/ref=34981F55E95BA0F3A467F7C38954441BEB4C99FB20F91274600DD0B438F3DC9774695FDEC6BAC716W5CC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3386FF0232C8BCEC6A6B1260B6B70E8CBE2DA76B55C5C246A7A123F877v6K" TargetMode="External"/><Relationship Id="rId12" Type="http://schemas.openxmlformats.org/officeDocument/2006/relationships/hyperlink" Target="consultantplus://offline/ref=CB0DE7074DC4995F5A0418E019A7FEF978D796925938E4438CC78EBBAF53E84612A1813DEBD0U5w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0DE7074DC4995F5A0418E019A7FEF978D796925938E4438CC78EBBAF53E84612A1813BEAUDw0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0DE7074DC4995F5A0418E019A7FEF978D3919B583EE4438CC78EBBAF53E84612A18138E9D15AFCU5w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0DE7074DC4995F5A0418E019A7FEF978D79392583EE4438CC78EBBAF53E84612A1813DUEw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11543</CharactersWithSpaces>
  <SharedDoc>false</SharedDoc>
  <HLinks>
    <vt:vector size="72" baseType="variant">
      <vt:variant>
        <vt:i4>7798894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consultantplus://offline/ref=34981F55E95BA0F3A467F7C38954441BEB4C99FB20F91274600DD0B438F3DC9774695FDEC6BAC716W5CCS</vt:lpwstr>
      </vt:variant>
      <vt:variant>
        <vt:lpwstr/>
      </vt:variant>
      <vt:variant>
        <vt:i4>2752608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consultantplus://offline/ref=CB0DE7074DC4995F5A0418E019A7FEF978D796925938E4438CC78EBBAF53E84612A1813DEBD0U5w3J</vt:lpwstr>
      </vt:variant>
      <vt:variant>
        <vt:lpwstr/>
      </vt:variant>
      <vt:variant>
        <vt:i4>5111815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consultantplus://offline/ref=CB0DE7074DC4995F5A0418E019A7FEF978D796925938E4438CC78EBBAF53E84612A1813BEAUDw0J</vt:lpwstr>
      </vt:variant>
      <vt:variant>
        <vt:lpwstr/>
      </vt:variant>
      <vt:variant>
        <vt:i4>7929953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consultantplus://offline/ref=CB0DE7074DC4995F5A0418E019A7FEF978D3919B583EE4438CC78EBBAF53E84612A18138E9D15AFCU5w9J</vt:lpwstr>
      </vt:variant>
      <vt:variant>
        <vt:lpwstr/>
      </vt:variant>
      <vt:variant>
        <vt:i4>2818154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consultantplus://offline/ref=CB0DE7074DC4995F5A0418E019A7FEF978D79392583EE4438CC78EBBAF53E84612A1813DUEwBJ</vt:lpwstr>
      </vt:variant>
      <vt:variant>
        <vt:lpwstr/>
      </vt:variant>
      <vt:variant>
        <vt:i4>7929919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consultantplus://offline/ref=CB0DE7074DC4995F5A0418E019A7FEF978D79392583EE4438CC78EBBAF53E84612A18138E9D15DF4U5wCJ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consultantplus://offline/ref=B13386FF0232C8BCEC6A6B1260B6B70E8CBE2DA76B55C5C246A7A123F877v6K</vt:lpwstr>
      </vt:variant>
      <vt:variant>
        <vt:lpwstr/>
      </vt:variant>
      <vt:variant>
        <vt:i4>3735652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consultantplus://offline/ref=D388DDA761954F2600F7750B8771C6EA020A7633AAFB61B17D13638F3371CB84005FAC3AC846mBp3H</vt:lpwstr>
      </vt:variant>
      <vt:variant>
        <vt:lpwstr/>
      </vt:variant>
      <vt:variant>
        <vt:i4>67175439</vt:i4>
      </vt:variant>
      <vt:variant>
        <vt:i4>12</vt:i4>
      </vt:variant>
      <vt:variant>
        <vt:i4>0</vt:i4>
      </vt:variant>
      <vt:variant>
        <vt:i4>5</vt:i4>
      </vt:variant>
      <vt:variant>
        <vt:lpwstr>mailto:es@икс-групп.р</vt:lpwstr>
      </vt:variant>
      <vt:variant>
        <vt:lpwstr/>
      </vt:variant>
      <vt:variant>
        <vt:i4>7471186</vt:i4>
      </vt:variant>
      <vt:variant>
        <vt:i4>9</vt:i4>
      </vt:variant>
      <vt:variant>
        <vt:i4>0</vt:i4>
      </vt:variant>
      <vt:variant>
        <vt:i4>5</vt:i4>
      </vt:variant>
      <vt:variant>
        <vt:lpwstr>http://www.икс-групп.рф/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mailto:info@икс-групп.рф</vt:lpwstr>
      </vt:variant>
      <vt:variant>
        <vt:lpwstr/>
      </vt:variant>
      <vt:variant>
        <vt:i4>7864323</vt:i4>
      </vt:variant>
      <vt:variant>
        <vt:i4>3</vt:i4>
      </vt:variant>
      <vt:variant>
        <vt:i4>0</vt:i4>
      </vt:variant>
      <vt:variant>
        <vt:i4>5</vt:i4>
      </vt:variant>
      <vt:variant>
        <vt:lpwstr>mailto:info@busness-protection.ru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Smirnov_RS</dc:creator>
  <cp:lastModifiedBy>111</cp:lastModifiedBy>
  <cp:revision>37</cp:revision>
  <cp:lastPrinted>2018-04-17T06:18:00Z</cp:lastPrinted>
  <dcterms:created xsi:type="dcterms:W3CDTF">2018-04-17T07:04:00Z</dcterms:created>
  <dcterms:modified xsi:type="dcterms:W3CDTF">2018-07-13T11:08:00Z</dcterms:modified>
</cp:coreProperties>
</file>